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7E3" w:rsidRPr="006547E3" w:rsidRDefault="006547E3" w:rsidP="006547E3">
      <w:pPr>
        <w:pStyle w:val="a6"/>
        <w:ind w:left="-2"/>
        <w:rPr>
          <w:rFonts w:eastAsia="宋体"/>
          <w:sz w:val="22"/>
          <w:szCs w:val="22"/>
          <w:lang w:eastAsia="zh-CN"/>
        </w:rPr>
      </w:pPr>
      <w:r w:rsidRPr="006547E3">
        <w:rPr>
          <w:rFonts w:eastAsia="宋体"/>
          <w:sz w:val="22"/>
          <w:szCs w:val="22"/>
          <w:lang w:eastAsia="zh-CN"/>
        </w:rPr>
        <w:t xml:space="preserve">3GPP TSG RAN WG1 </w:t>
      </w:r>
      <w:r w:rsidR="00CA7609">
        <w:rPr>
          <w:rFonts w:eastAsia="宋体" w:hint="eastAsia"/>
          <w:sz w:val="22"/>
          <w:szCs w:val="22"/>
          <w:lang w:eastAsia="zh-CN"/>
        </w:rPr>
        <w:t xml:space="preserve">Meeting </w:t>
      </w:r>
      <w:r w:rsidRPr="006547E3">
        <w:rPr>
          <w:rFonts w:eastAsia="宋体"/>
          <w:sz w:val="22"/>
          <w:szCs w:val="22"/>
          <w:lang w:eastAsia="zh-CN"/>
        </w:rPr>
        <w:t>#96</w:t>
      </w:r>
      <w:r w:rsidRPr="006547E3">
        <w:rPr>
          <w:rFonts w:eastAsia="宋体"/>
          <w:sz w:val="22"/>
          <w:szCs w:val="22"/>
          <w:lang w:eastAsia="zh-CN"/>
        </w:rPr>
        <w:tab/>
      </w:r>
      <w:r w:rsidRPr="006547E3">
        <w:rPr>
          <w:rFonts w:eastAsia="宋体"/>
          <w:sz w:val="22"/>
          <w:szCs w:val="22"/>
          <w:lang w:eastAsia="zh-CN"/>
        </w:rPr>
        <w:tab/>
      </w:r>
      <w:r w:rsidRPr="006547E3">
        <w:rPr>
          <w:rFonts w:eastAsia="宋体"/>
          <w:sz w:val="22"/>
          <w:szCs w:val="22"/>
          <w:lang w:eastAsia="zh-CN"/>
        </w:rPr>
        <w:tab/>
      </w:r>
      <w:r w:rsidR="00CA7609">
        <w:rPr>
          <w:rFonts w:eastAsia="宋体"/>
          <w:sz w:val="22"/>
          <w:szCs w:val="22"/>
          <w:lang w:eastAsia="zh-CN"/>
        </w:rPr>
        <w:tab/>
      </w:r>
      <w:r w:rsidR="00CA7609">
        <w:rPr>
          <w:rFonts w:eastAsia="宋体"/>
          <w:sz w:val="22"/>
          <w:szCs w:val="22"/>
          <w:lang w:eastAsia="zh-CN"/>
        </w:rPr>
        <w:tab/>
      </w:r>
      <w:r w:rsidR="00CA7609">
        <w:rPr>
          <w:rFonts w:eastAsia="宋体"/>
          <w:sz w:val="22"/>
          <w:szCs w:val="22"/>
          <w:lang w:eastAsia="zh-CN"/>
        </w:rPr>
        <w:tab/>
      </w:r>
      <w:r w:rsidR="00CA7609">
        <w:rPr>
          <w:rFonts w:eastAsia="宋体"/>
          <w:sz w:val="22"/>
          <w:szCs w:val="22"/>
          <w:lang w:eastAsia="zh-CN"/>
        </w:rPr>
        <w:tab/>
      </w:r>
      <w:bookmarkStart w:id="0" w:name="_GoBack"/>
      <w:bookmarkEnd w:id="0"/>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Pr>
          <w:rFonts w:eastAsia="宋体"/>
          <w:sz w:val="22"/>
          <w:szCs w:val="22"/>
          <w:lang w:eastAsia="zh-CN"/>
        </w:rPr>
        <w:tab/>
      </w:r>
      <w:r w:rsidR="00354E69" w:rsidRPr="00374A8E">
        <w:rPr>
          <w:rFonts w:eastAsia="宋体"/>
          <w:sz w:val="22"/>
          <w:szCs w:val="22"/>
          <w:lang w:eastAsia="zh-CN"/>
        </w:rPr>
        <w:t>R1-1901990</w:t>
      </w:r>
    </w:p>
    <w:p w:rsidR="00580BBC" w:rsidRPr="00A3663D" w:rsidRDefault="006547E3" w:rsidP="006547E3">
      <w:pPr>
        <w:pStyle w:val="a6"/>
        <w:ind w:left="-2"/>
        <w:rPr>
          <w:rFonts w:eastAsia="宋体"/>
          <w:sz w:val="22"/>
          <w:szCs w:val="22"/>
          <w:lang w:eastAsia="zh-CN"/>
        </w:rPr>
      </w:pPr>
      <w:r w:rsidRPr="006547E3">
        <w:rPr>
          <w:rFonts w:eastAsia="宋体"/>
          <w:sz w:val="22"/>
          <w:szCs w:val="22"/>
          <w:lang w:eastAsia="zh-CN"/>
        </w:rPr>
        <w:t>Athens, Greece, 25th February – 1st March, 2019</w:t>
      </w:r>
    </w:p>
    <w:p w:rsidR="00580BBC" w:rsidRPr="00A93126" w:rsidRDefault="00580BBC"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Default="00580BBC" w:rsidP="00580BBC">
      <w:pPr>
        <w:pStyle w:val="a6"/>
        <w:tabs>
          <w:tab w:val="left" w:pos="1800"/>
        </w:tabs>
        <w:ind w:left="-2"/>
        <w:rPr>
          <w:sz w:val="22"/>
          <w:szCs w:val="22"/>
        </w:rPr>
      </w:pPr>
      <w:r w:rsidRPr="0052231C">
        <w:rPr>
          <w:sz w:val="22"/>
          <w:szCs w:val="22"/>
        </w:rPr>
        <w:t>Title:</w:t>
      </w:r>
      <w:bookmarkStart w:id="1" w:name="Title"/>
      <w:bookmarkEnd w:id="1"/>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681CBF">
        <w:rPr>
          <w:rFonts w:eastAsia="宋体"/>
          <w:sz w:val="22"/>
          <w:szCs w:val="22"/>
          <w:lang w:eastAsia="zh-CN"/>
        </w:rPr>
        <w:t>i</w:t>
      </w:r>
      <w:r w:rsidR="0064116A" w:rsidRPr="0064116A">
        <w:rPr>
          <w:rFonts w:eastAsia="宋体"/>
          <w:sz w:val="22"/>
          <w:szCs w:val="22"/>
          <w:lang w:eastAsia="zh-CN"/>
        </w:rPr>
        <w:t>nitial access signals/channels</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sidR="00172889">
        <w:rPr>
          <w:rFonts w:eastAsia="宋体"/>
          <w:sz w:val="22"/>
          <w:szCs w:val="22"/>
          <w:lang w:val="en-US" w:eastAsia="zh-CN"/>
        </w:rPr>
        <w:t>7.2.</w:t>
      </w:r>
      <w:r w:rsidR="0064116A">
        <w:rPr>
          <w:rFonts w:eastAsia="宋体"/>
          <w:sz w:val="22"/>
          <w:szCs w:val="22"/>
          <w:lang w:val="en-US" w:eastAsia="zh-CN"/>
        </w:rPr>
        <w:t>2.1.1</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10"/>
      </w:pPr>
      <w:r w:rsidRPr="00A52C24">
        <w:t>Introduction</w:t>
      </w:r>
    </w:p>
    <w:p w:rsidR="00E95B6B" w:rsidRDefault="00E80B7B" w:rsidP="00660EF8">
      <w:pPr>
        <w:autoSpaceDN w:val="0"/>
        <w:spacing w:before="120" w:after="0" w:line="280" w:lineRule="atLeast"/>
        <w:ind w:left="1"/>
        <w:contextualSpacing/>
        <w:jc w:val="both"/>
        <w:rPr>
          <w:rFonts w:eastAsiaTheme="minorEastAsia"/>
          <w:lang w:eastAsia="zh-CN"/>
        </w:rPr>
      </w:pPr>
      <w:r w:rsidRPr="00B50EDD">
        <w:t>I</w:t>
      </w:r>
      <w:r w:rsidRPr="00B50EDD">
        <w:rPr>
          <w:rFonts w:eastAsiaTheme="minorEastAsia" w:hint="eastAsia"/>
          <w:lang w:eastAsia="zh-CN"/>
        </w:rPr>
        <w:t xml:space="preserve">n </w:t>
      </w:r>
      <w:r w:rsidR="002249BA">
        <w:rPr>
          <w:rFonts w:eastAsiaTheme="minorEastAsia"/>
          <w:lang w:eastAsia="zh-CN"/>
        </w:rPr>
        <w:t>RAN1#</w:t>
      </w:r>
      <w:r w:rsidR="005E778F">
        <w:rPr>
          <w:rFonts w:eastAsiaTheme="minorEastAsia"/>
          <w:lang w:eastAsia="zh-CN"/>
        </w:rPr>
        <w:t>AH1901</w:t>
      </w:r>
      <w:r w:rsidR="002249BA">
        <w:rPr>
          <w:rFonts w:eastAsiaTheme="minorEastAsia"/>
          <w:lang w:eastAsia="zh-CN"/>
        </w:rPr>
        <w:t xml:space="preserve">, the following agreements were made on </w:t>
      </w:r>
      <w:r w:rsidR="008A1DD5" w:rsidRPr="008A1DD5">
        <w:rPr>
          <w:rFonts w:eastAsiaTheme="minorEastAsia"/>
          <w:lang w:eastAsia="zh-CN"/>
        </w:rPr>
        <w:t>NR-U initial access signals/channels</w:t>
      </w:r>
      <w:r w:rsidR="00E95B6B">
        <w:rPr>
          <w:rFonts w:eastAsiaTheme="minorEastAsia"/>
          <w:lang w:eastAsia="zh-CN"/>
        </w:rPr>
        <w:t xml:space="preserve"> </w:t>
      </w:r>
      <w:r w:rsidR="007165EF">
        <w:rPr>
          <w:rFonts w:eastAsiaTheme="minorEastAsia"/>
          <w:lang w:eastAsia="zh-CN"/>
        </w:rPr>
        <w:t>[1]</w:t>
      </w:r>
      <w:r w:rsidR="00E95B6B">
        <w:rPr>
          <w:rFonts w:eastAsiaTheme="minorEastAsia"/>
          <w:lang w:eastAsia="zh-CN"/>
        </w:rPr>
        <w:t>:</w:t>
      </w:r>
    </w:p>
    <w:tbl>
      <w:tblPr>
        <w:tblStyle w:val="af4"/>
        <w:tblW w:w="0" w:type="auto"/>
        <w:tblInd w:w="1" w:type="dxa"/>
        <w:tblLook w:val="04A0" w:firstRow="1" w:lastRow="0" w:firstColumn="1" w:lastColumn="0" w:noHBand="0" w:noVBand="1"/>
      </w:tblPr>
      <w:tblGrid>
        <w:gridCol w:w="9854"/>
      </w:tblGrid>
      <w:tr w:rsidR="00F5174E" w:rsidTr="00F5174E">
        <w:tc>
          <w:tcPr>
            <w:tcW w:w="9855" w:type="dxa"/>
          </w:tcPr>
          <w:p w:rsidR="00F5174E" w:rsidRPr="001243DE" w:rsidRDefault="00F5174E" w:rsidP="00F5174E">
            <w:pPr>
              <w:rPr>
                <w:rFonts w:cs="Times"/>
                <w:lang w:eastAsia="x-none"/>
              </w:rPr>
            </w:pPr>
            <w:r w:rsidRPr="001243DE">
              <w:rPr>
                <w:rFonts w:cs="Times"/>
                <w:highlight w:val="green"/>
                <w:lang w:eastAsia="x-none"/>
              </w:rPr>
              <w:t>Agreement:</w:t>
            </w:r>
            <w:r w:rsidRPr="001243DE">
              <w:rPr>
                <w:rFonts w:cs="Times"/>
                <w:lang w:eastAsia="x-none"/>
              </w:rPr>
              <w:t xml:space="preserve"> </w:t>
            </w:r>
          </w:p>
          <w:p w:rsidR="00F5174E" w:rsidRPr="001243DE" w:rsidRDefault="00F5174E" w:rsidP="00744979">
            <w:pPr>
              <w:numPr>
                <w:ilvl w:val="0"/>
                <w:numId w:val="37"/>
              </w:numPr>
              <w:spacing w:after="0"/>
              <w:rPr>
                <w:rFonts w:cs="Times"/>
                <w:lang w:eastAsia="x-none"/>
              </w:rPr>
            </w:pPr>
            <w:r w:rsidRPr="001243DE">
              <w:rPr>
                <w:rFonts w:cs="Times"/>
                <w:lang w:eastAsia="x-none"/>
              </w:rPr>
              <w:t>UE assumes 30KHz SCS for SS/PBCH block for 5GHz band and 6GHz band if the SCS is not indicated by higher layers.</w:t>
            </w:r>
          </w:p>
          <w:p w:rsidR="00F5174E" w:rsidRPr="001243DE" w:rsidRDefault="00F5174E" w:rsidP="00744979">
            <w:pPr>
              <w:numPr>
                <w:ilvl w:val="0"/>
                <w:numId w:val="37"/>
              </w:numPr>
              <w:spacing w:after="0"/>
              <w:rPr>
                <w:rFonts w:cs="Times"/>
                <w:lang w:eastAsia="x-none"/>
              </w:rPr>
            </w:pPr>
            <w:r w:rsidRPr="001243DE">
              <w:rPr>
                <w:rFonts w:cs="Times"/>
                <w:lang w:eastAsia="x-none"/>
              </w:rPr>
              <w:t>Support configuration by higher layers of 15KHz or 30KHz SCS for SS/PBCH block</w:t>
            </w:r>
          </w:p>
          <w:p w:rsidR="00F5174E" w:rsidRPr="00F5174E" w:rsidRDefault="00F5174E" w:rsidP="00744979">
            <w:pPr>
              <w:numPr>
                <w:ilvl w:val="0"/>
                <w:numId w:val="37"/>
              </w:numPr>
              <w:spacing w:after="0"/>
              <w:rPr>
                <w:rFonts w:cs="Times"/>
                <w:u w:val="single"/>
                <w:lang w:eastAsia="x-none"/>
              </w:rPr>
            </w:pPr>
            <w:r w:rsidRPr="00F5174E">
              <w:rPr>
                <w:rFonts w:cs="Times"/>
                <w:lang w:eastAsia="x-none"/>
              </w:rPr>
              <w:t xml:space="preserve">Include this agreement in a LS to RAN4 (cc RAN2) for inclusion in specs managed by RAN4 </w:t>
            </w:r>
          </w:p>
          <w:p w:rsidR="00F5174E" w:rsidRPr="00F5174E" w:rsidRDefault="00F5174E" w:rsidP="00F5174E">
            <w:pPr>
              <w:spacing w:after="0"/>
              <w:ind w:left="360"/>
              <w:rPr>
                <w:rFonts w:cs="Times"/>
                <w:u w:val="single"/>
                <w:lang w:eastAsia="x-none"/>
              </w:rPr>
            </w:pPr>
          </w:p>
          <w:p w:rsidR="00F5174E" w:rsidRPr="001243DE" w:rsidRDefault="00F5174E" w:rsidP="00F5174E">
            <w:pPr>
              <w:rPr>
                <w:rFonts w:cs="Times"/>
                <w:u w:val="single"/>
                <w:lang w:eastAsia="x-none"/>
              </w:rPr>
            </w:pPr>
            <w:r w:rsidRPr="001243DE">
              <w:rPr>
                <w:rFonts w:cs="Times"/>
                <w:u w:val="single"/>
                <w:lang w:eastAsia="x-none"/>
              </w:rPr>
              <w:t>Conclusion:</w:t>
            </w:r>
          </w:p>
          <w:p w:rsidR="00F5174E" w:rsidRPr="001243DE" w:rsidRDefault="00F5174E" w:rsidP="00F5174E">
            <w:pPr>
              <w:rPr>
                <w:rFonts w:cs="Times"/>
                <w:lang w:eastAsia="x-none"/>
              </w:rPr>
            </w:pPr>
            <w:r w:rsidRPr="001243DE">
              <w:rPr>
                <w:rFonts w:cs="Times"/>
                <w:lang w:eastAsia="x-none"/>
              </w:rPr>
              <w:t>No changes are required to the time and frequency position of the PSS/SSS/PBCH relative to each other in one PSS/SSS/PBCH block.</w:t>
            </w:r>
          </w:p>
          <w:p w:rsidR="00F5174E" w:rsidRPr="001243DE" w:rsidRDefault="00F5174E" w:rsidP="00F5174E">
            <w:pPr>
              <w:rPr>
                <w:rFonts w:cs="Times"/>
                <w:lang w:eastAsia="x-none"/>
              </w:rPr>
            </w:pPr>
            <w:r w:rsidRPr="001243DE">
              <w:rPr>
                <w:rFonts w:cs="Times"/>
                <w:highlight w:val="green"/>
                <w:lang w:eastAsia="x-none"/>
              </w:rPr>
              <w:t>Agreement:</w:t>
            </w:r>
          </w:p>
          <w:p w:rsidR="00F5174E" w:rsidRPr="001243DE" w:rsidRDefault="00F5174E" w:rsidP="00F5174E">
            <w:pPr>
              <w:rPr>
                <w:rFonts w:cs="Times"/>
                <w:lang w:eastAsia="x-none"/>
              </w:rPr>
            </w:pPr>
            <w:r w:rsidRPr="001243DE">
              <w:rPr>
                <w:rFonts w:cs="Times"/>
                <w:lang w:eastAsia="x-none"/>
              </w:rPr>
              <w:t>The Type0-PDCCH monitoring configuration for NR-U should satisfy at least the following properties:</w:t>
            </w:r>
          </w:p>
          <w:p w:rsidR="00F5174E" w:rsidRPr="001243DE" w:rsidRDefault="00F5174E" w:rsidP="00744979">
            <w:pPr>
              <w:numPr>
                <w:ilvl w:val="0"/>
                <w:numId w:val="38"/>
              </w:numPr>
              <w:spacing w:after="0"/>
              <w:rPr>
                <w:rFonts w:cs="Times"/>
                <w:lang w:eastAsia="x-none"/>
              </w:rPr>
            </w:pPr>
            <w:r w:rsidRPr="001243DE">
              <w:rPr>
                <w:rFonts w:cs="Times"/>
                <w:lang w:eastAsia="x-none"/>
              </w:rPr>
              <w:t>TDM of Type0-PDCCH and SSB similar to existing pattern 1 (already agreed)</w:t>
            </w:r>
          </w:p>
          <w:p w:rsidR="00F5174E" w:rsidRPr="001243DE" w:rsidRDefault="00F5174E" w:rsidP="00744979">
            <w:pPr>
              <w:numPr>
                <w:ilvl w:val="0"/>
                <w:numId w:val="38"/>
              </w:numPr>
              <w:spacing w:after="0"/>
              <w:rPr>
                <w:rFonts w:cs="Times"/>
                <w:lang w:eastAsia="x-none"/>
              </w:rPr>
            </w:pPr>
            <w:r w:rsidRPr="001243DE">
              <w:rPr>
                <w:rFonts w:cs="Times"/>
                <w:lang w:eastAsia="x-none"/>
              </w:rPr>
              <w:t>Support the monitoring of Type0 PDCCH of the 2</w:t>
            </w:r>
            <w:r w:rsidRPr="001243DE">
              <w:rPr>
                <w:rFonts w:cs="Times"/>
                <w:vertAlign w:val="superscript"/>
                <w:lang w:eastAsia="x-none"/>
              </w:rPr>
              <w:t>nd</w:t>
            </w:r>
            <w:r w:rsidRPr="001243DE">
              <w:rPr>
                <w:rFonts w:cs="Times"/>
                <w:lang w:eastAsia="x-none"/>
              </w:rPr>
              <w:t xml:space="preserve"> SSB position in a slot in the gap between 1</w:t>
            </w:r>
            <w:r w:rsidRPr="001243DE">
              <w:rPr>
                <w:rFonts w:cs="Times"/>
                <w:vertAlign w:val="superscript"/>
                <w:lang w:eastAsia="x-none"/>
              </w:rPr>
              <w:t>st</w:t>
            </w:r>
            <w:r w:rsidRPr="001243DE">
              <w:rPr>
                <w:rFonts w:cs="Times"/>
                <w:lang w:eastAsia="x-none"/>
              </w:rPr>
              <w:t xml:space="preserve"> and 2</w:t>
            </w:r>
            <w:r w:rsidRPr="001243DE">
              <w:rPr>
                <w:rFonts w:cs="Times"/>
                <w:vertAlign w:val="superscript"/>
                <w:lang w:eastAsia="x-none"/>
              </w:rPr>
              <w:t>nd</w:t>
            </w:r>
            <w:r w:rsidRPr="001243DE">
              <w:rPr>
                <w:rFonts w:cs="Times"/>
                <w:lang w:eastAsia="x-none"/>
              </w:rPr>
              <w:t xml:space="preserve"> SSB within the slot</w:t>
            </w:r>
          </w:p>
          <w:p w:rsidR="00F5174E" w:rsidRPr="001243DE" w:rsidRDefault="00F5174E" w:rsidP="00744979">
            <w:pPr>
              <w:numPr>
                <w:ilvl w:val="1"/>
                <w:numId w:val="38"/>
              </w:numPr>
              <w:spacing w:after="0"/>
              <w:rPr>
                <w:rFonts w:cs="Times"/>
                <w:lang w:eastAsia="x-none"/>
              </w:rPr>
            </w:pPr>
            <w:r w:rsidRPr="001243DE">
              <w:rPr>
                <w:rFonts w:cs="Times"/>
                <w:lang w:eastAsia="x-none"/>
              </w:rPr>
              <w:t>FFS start at symbol #6 of #7 or both</w:t>
            </w:r>
          </w:p>
          <w:p w:rsidR="00F5174E" w:rsidRPr="001243DE" w:rsidRDefault="00F5174E" w:rsidP="00744979">
            <w:pPr>
              <w:numPr>
                <w:ilvl w:val="0"/>
                <w:numId w:val="38"/>
              </w:numPr>
              <w:spacing w:after="0"/>
              <w:rPr>
                <w:rFonts w:cs="Times"/>
                <w:lang w:eastAsia="x-none"/>
              </w:rPr>
            </w:pPr>
            <w:r w:rsidRPr="001243DE">
              <w:rPr>
                <w:rFonts w:cs="Times"/>
                <w:lang w:eastAsia="x-none"/>
              </w:rPr>
              <w:t>FFS: The Type0-PDCCH candidates associated with an SSB are confined within a slot carrying the associated SSB (with the same QCL assumptions)</w:t>
            </w:r>
          </w:p>
          <w:p w:rsidR="00F5174E" w:rsidRDefault="00F5174E" w:rsidP="00660EF8">
            <w:pPr>
              <w:autoSpaceDN w:val="0"/>
              <w:spacing w:before="120" w:after="0" w:line="280" w:lineRule="atLeast"/>
              <w:contextualSpacing/>
              <w:jc w:val="both"/>
              <w:rPr>
                <w:rFonts w:eastAsiaTheme="minorEastAsia"/>
                <w:lang w:eastAsia="zh-CN"/>
              </w:rPr>
            </w:pPr>
          </w:p>
          <w:p w:rsidR="00427F5C" w:rsidRPr="001243DE" w:rsidRDefault="00427F5C" w:rsidP="00427F5C">
            <w:pPr>
              <w:rPr>
                <w:rFonts w:cs="Times"/>
                <w:lang w:eastAsia="x-none"/>
              </w:rPr>
            </w:pPr>
            <w:r w:rsidRPr="001243DE">
              <w:rPr>
                <w:rFonts w:cs="Times"/>
                <w:highlight w:val="green"/>
                <w:lang w:eastAsia="x-none"/>
              </w:rPr>
              <w:t>Agreement:</w:t>
            </w:r>
            <w:r w:rsidRPr="001243DE">
              <w:rPr>
                <w:rFonts w:cs="Times"/>
                <w:lang w:eastAsia="x-none"/>
              </w:rPr>
              <w:t xml:space="preserve"> </w:t>
            </w:r>
          </w:p>
          <w:p w:rsidR="00427F5C" w:rsidRPr="001243DE" w:rsidRDefault="00427F5C" w:rsidP="00427F5C">
            <w:pPr>
              <w:rPr>
                <w:rFonts w:cs="Times"/>
                <w:lang w:val="en-US" w:eastAsia="x-none"/>
              </w:rPr>
            </w:pPr>
            <w:r w:rsidRPr="001243DE">
              <w:rPr>
                <w:rFonts w:cs="Times"/>
                <w:lang w:eastAsia="x-none"/>
              </w:rPr>
              <w:t>Companies are encouraged to provide results comparing the different alternatives using the following simulation assumptions to select between alternative PRACH designs.</w:t>
            </w:r>
          </w:p>
          <w:p w:rsidR="00427F5C" w:rsidRPr="001243DE" w:rsidRDefault="00427F5C" w:rsidP="00744979">
            <w:pPr>
              <w:numPr>
                <w:ilvl w:val="0"/>
                <w:numId w:val="39"/>
              </w:numPr>
              <w:spacing w:after="0"/>
              <w:rPr>
                <w:rFonts w:cs="Times"/>
                <w:b/>
                <w:bCs/>
                <w:u w:val="single"/>
                <w:lang w:eastAsia="x-none"/>
              </w:rPr>
            </w:pPr>
            <w:r w:rsidRPr="001243DE">
              <w:rPr>
                <w:rFonts w:cs="Times"/>
                <w:lang w:eastAsia="x-none"/>
              </w:rPr>
              <w:t>The Rel-15 PRACH design should be simulated as a baseline</w:t>
            </w:r>
          </w:p>
          <w:p w:rsidR="00427F5C" w:rsidRDefault="00427F5C" w:rsidP="00660EF8">
            <w:pPr>
              <w:autoSpaceDN w:val="0"/>
              <w:spacing w:before="120" w:after="0" w:line="280" w:lineRule="atLeast"/>
              <w:contextualSpacing/>
              <w:jc w:val="both"/>
              <w:rPr>
                <w:rFonts w:eastAsiaTheme="minorEastAsia"/>
                <w:lang w:eastAsia="zh-CN"/>
              </w:rPr>
            </w:pPr>
          </w:p>
        </w:tc>
      </w:tr>
    </w:tbl>
    <w:p w:rsidR="00E95B6B" w:rsidRDefault="00E95B6B" w:rsidP="00660EF8">
      <w:pPr>
        <w:autoSpaceDN w:val="0"/>
        <w:spacing w:before="120" w:after="0" w:line="280" w:lineRule="atLeast"/>
        <w:ind w:left="1"/>
        <w:contextualSpacing/>
        <w:jc w:val="both"/>
        <w:rPr>
          <w:rFonts w:eastAsiaTheme="minorEastAsia"/>
          <w:lang w:eastAsia="zh-CN"/>
        </w:rPr>
      </w:pPr>
    </w:p>
    <w:p w:rsidR="005E778F" w:rsidRDefault="005E778F" w:rsidP="005E778F">
      <w:pPr>
        <w:autoSpaceDN w:val="0"/>
        <w:spacing w:before="120" w:after="0" w:line="280" w:lineRule="atLeast"/>
        <w:ind w:left="1"/>
        <w:contextualSpacing/>
        <w:jc w:val="both"/>
        <w:rPr>
          <w:rFonts w:eastAsiaTheme="minorEastAsia"/>
          <w:lang w:eastAsia="zh-CN"/>
        </w:rPr>
      </w:pPr>
      <w:r w:rsidRPr="00B50EDD">
        <w:t>I</w:t>
      </w:r>
      <w:r w:rsidRPr="00B50EDD">
        <w:rPr>
          <w:rFonts w:eastAsiaTheme="minorEastAsia" w:hint="eastAsia"/>
          <w:lang w:eastAsia="zh-CN"/>
        </w:rPr>
        <w:t xml:space="preserve">n </w:t>
      </w:r>
      <w:r>
        <w:rPr>
          <w:rFonts w:eastAsiaTheme="minorEastAsia"/>
          <w:lang w:eastAsia="zh-CN"/>
        </w:rPr>
        <w:t xml:space="preserve">RAN1#95, the following agreements were made on </w:t>
      </w:r>
      <w:r w:rsidRPr="008A1DD5">
        <w:rPr>
          <w:rFonts w:eastAsiaTheme="minorEastAsia"/>
          <w:lang w:eastAsia="zh-CN"/>
        </w:rPr>
        <w:t>NR-U initial access signals/channels</w:t>
      </w:r>
      <w:r>
        <w:rPr>
          <w:rFonts w:eastAsiaTheme="minorEastAsia"/>
          <w:lang w:eastAsia="zh-CN"/>
        </w:rPr>
        <w:t xml:space="preserve"> </w:t>
      </w:r>
      <w:r w:rsidR="00D479D4">
        <w:rPr>
          <w:rFonts w:eastAsiaTheme="minorEastAsia"/>
          <w:lang w:eastAsia="zh-CN"/>
        </w:rPr>
        <w:t>[2</w:t>
      </w:r>
      <w:r>
        <w:rPr>
          <w:rFonts w:eastAsiaTheme="minorEastAsia"/>
          <w:lang w:eastAsia="zh-CN"/>
        </w:rPr>
        <w:t>]:</w:t>
      </w:r>
    </w:p>
    <w:tbl>
      <w:tblPr>
        <w:tblStyle w:val="af4"/>
        <w:tblW w:w="0" w:type="auto"/>
        <w:tblInd w:w="1" w:type="dxa"/>
        <w:tblLook w:val="04A0" w:firstRow="1" w:lastRow="0" w:firstColumn="1" w:lastColumn="0" w:noHBand="0" w:noVBand="1"/>
      </w:tblPr>
      <w:tblGrid>
        <w:gridCol w:w="9854"/>
      </w:tblGrid>
      <w:tr w:rsidR="00E95B6B" w:rsidTr="005E778F">
        <w:tc>
          <w:tcPr>
            <w:tcW w:w="9854" w:type="dxa"/>
          </w:tcPr>
          <w:p w:rsidR="00E95B6B" w:rsidRDefault="00E95B6B" w:rsidP="00E95B6B">
            <w:pPr>
              <w:autoSpaceDN w:val="0"/>
              <w:spacing w:before="120" w:after="0" w:line="280" w:lineRule="atLeast"/>
              <w:ind w:left="1"/>
              <w:contextualSpacing/>
              <w:jc w:val="both"/>
              <w:rPr>
                <w:rFonts w:eastAsiaTheme="minorEastAsia"/>
                <w:lang w:eastAsia="zh-CN"/>
              </w:rPr>
            </w:pPr>
          </w:p>
          <w:p w:rsidR="00E95B6B" w:rsidRPr="00DA75F7" w:rsidRDefault="00E95B6B" w:rsidP="00E95B6B">
            <w:r w:rsidRPr="00022EA3">
              <w:rPr>
                <w:highlight w:val="green"/>
              </w:rPr>
              <w:t>Agreement:</w:t>
            </w:r>
          </w:p>
          <w:p w:rsidR="00E95B6B" w:rsidRPr="00AA3488" w:rsidRDefault="00E95B6B" w:rsidP="00744979">
            <w:pPr>
              <w:numPr>
                <w:ilvl w:val="0"/>
                <w:numId w:val="36"/>
              </w:numPr>
              <w:spacing w:after="0"/>
            </w:pPr>
            <w:r w:rsidRPr="00AA3488">
              <w:t>Support of Pattern 1 is recommended for multiplexing of SS/PBCH block(s) and CORESET(s</w:t>
            </w:r>
            <w:proofErr w:type="gramStart"/>
            <w:r w:rsidRPr="00AA3488">
              <w:t>)#</w:t>
            </w:r>
            <w:proofErr w:type="gramEnd"/>
            <w:r w:rsidRPr="00AA3488">
              <w:t>0 in NR-U.</w:t>
            </w:r>
          </w:p>
          <w:p w:rsidR="00E95B6B" w:rsidRPr="00AA3488" w:rsidRDefault="00E95B6B" w:rsidP="00744979">
            <w:pPr>
              <w:numPr>
                <w:ilvl w:val="0"/>
                <w:numId w:val="35"/>
              </w:numPr>
              <w:autoSpaceDE w:val="0"/>
              <w:autoSpaceDN w:val="0"/>
              <w:adjustRightInd w:val="0"/>
              <w:snapToGrid w:val="0"/>
              <w:spacing w:after="120"/>
            </w:pPr>
            <w:r w:rsidRPr="00F66F65">
              <w:t>As one</w:t>
            </w:r>
            <w:r w:rsidRPr="00AA3488">
              <w:t xml:space="preserve"> element to facilitate </w:t>
            </w:r>
            <w:r w:rsidRPr="00A92477">
              <w:rPr>
                <w:noProof/>
              </w:rPr>
              <w:t>a NR-U</w:t>
            </w:r>
            <w:r w:rsidRPr="00AA3488">
              <w:t xml:space="preserve"> DRS design without gaps in the time domain, the CORESET#0 configuration(s) and/or Type0-PDCCH common search space configuration(s) may need enhancements compared to NR Rel-15, such as additional time domain configurations of the common search space.</w:t>
            </w:r>
          </w:p>
          <w:p w:rsidR="00E95B6B" w:rsidRDefault="00E95B6B" w:rsidP="00E95B6B">
            <w:pPr>
              <w:ind w:left="720"/>
            </w:pPr>
            <w:r w:rsidRPr="00AA3488">
              <w:t xml:space="preserve">Note: Pattern 1 is understood as CORESET#0 and SS/PBCH block(s) occur in different time instances, and CORESET#0 bandwidth overlaps with the transmission bandwidth of the SS/PBCH block. </w:t>
            </w:r>
          </w:p>
          <w:p w:rsidR="00E95B6B" w:rsidRPr="00AA3488" w:rsidRDefault="00E95B6B" w:rsidP="00744979">
            <w:pPr>
              <w:numPr>
                <w:ilvl w:val="0"/>
                <w:numId w:val="36"/>
              </w:numPr>
              <w:spacing w:after="0"/>
            </w:pPr>
            <w:r>
              <w:t>Adopt the following text proposal to reflect the above</w:t>
            </w:r>
          </w:p>
          <w:p w:rsidR="00E95B6B" w:rsidRPr="00AA3488" w:rsidRDefault="00E95B6B" w:rsidP="00744979">
            <w:pPr>
              <w:numPr>
                <w:ilvl w:val="1"/>
                <w:numId w:val="36"/>
              </w:numPr>
              <w:spacing w:after="0"/>
            </w:pPr>
            <w:r>
              <w:t>“</w:t>
            </w:r>
            <w:r w:rsidRPr="00AA3488">
              <w:t>Support of Pattern 1 is recommended for multiplexing of SS/PBCH block(s) and CORESET(s</w:t>
            </w:r>
            <w:proofErr w:type="gramStart"/>
            <w:r w:rsidRPr="00AA3488">
              <w:t>)#</w:t>
            </w:r>
            <w:proofErr w:type="gramEnd"/>
            <w:r w:rsidRPr="00AA3488">
              <w:t>0 in NR-U, where Pattern 1 is understood as CORESET#0 and SS/PBCH block occur in different time instances, and CORESET#0 bandwidth overlaps with the transmission bandwidth of the SS/PBCH block.</w:t>
            </w:r>
          </w:p>
          <w:p w:rsidR="00E95B6B" w:rsidRPr="00AA3488" w:rsidRDefault="00E95B6B" w:rsidP="00E95B6B">
            <w:pPr>
              <w:ind w:left="1440"/>
            </w:pPr>
            <w:r w:rsidRPr="00AA3488">
              <w:lastRenderedPageBreak/>
              <w:t xml:space="preserve">As one element to facilitate </w:t>
            </w:r>
            <w:r w:rsidRPr="00A92477">
              <w:rPr>
                <w:noProof/>
              </w:rPr>
              <w:t>a NR-U</w:t>
            </w:r>
            <w:r w:rsidRPr="00AA3488">
              <w:t xml:space="preserve"> DRS design without gaps in the time domain, the CORESET#0 configuration(s) and/or Type0-PDCCH common search space configuration(s) may need enhancements compared to NR Rel-15, such as additional time domain configurations of the common search space.</w:t>
            </w:r>
            <w:r>
              <w:t>”</w:t>
            </w:r>
          </w:p>
          <w:p w:rsidR="00E95B6B" w:rsidRDefault="00E95B6B" w:rsidP="00E95B6B">
            <w:pPr>
              <w:rPr>
                <w:lang w:eastAsia="x-none"/>
              </w:rPr>
            </w:pPr>
            <w:r w:rsidRPr="00022EA3">
              <w:rPr>
                <w:highlight w:val="green"/>
                <w:lang w:eastAsia="x-none"/>
              </w:rPr>
              <w:t>Agreement:</w:t>
            </w:r>
          </w:p>
          <w:p w:rsidR="00E95B6B" w:rsidRDefault="00E95B6B" w:rsidP="00E95B6B">
            <w:pPr>
              <w:rPr>
                <w:lang w:eastAsia="x-none"/>
              </w:rPr>
            </w:pPr>
            <w:r>
              <w:rPr>
                <w:lang w:eastAsia="x-none"/>
              </w:rPr>
              <w:t>Adopt the following text for the TR:</w:t>
            </w:r>
          </w:p>
          <w:p w:rsidR="00E95B6B" w:rsidRDefault="00E95B6B" w:rsidP="00E95B6B">
            <w:pPr>
              <w:pStyle w:val="afb"/>
              <w:spacing w:after="180"/>
              <w:ind w:left="0"/>
            </w:pPr>
            <w:r w:rsidRPr="009C2AF8">
              <w:t xml:space="preserve">The detection of a </w:t>
            </w:r>
            <w:proofErr w:type="spellStart"/>
            <w:r w:rsidRPr="009C2AF8">
              <w:t>gNB’s</w:t>
            </w:r>
            <w:proofErr w:type="spellEnd"/>
            <w:r w:rsidRPr="009C2AF8">
              <w:t xml:space="preserve"> transmission burst by the UE has been studied, and concerns on the UE power consumption required for </w:t>
            </w:r>
            <w:proofErr w:type="spellStart"/>
            <w:r w:rsidRPr="009C2AF8">
              <w:t>Tx</w:t>
            </w:r>
            <w:proofErr w:type="spellEnd"/>
            <w:r w:rsidRPr="009C2AF8">
              <w:t xml:space="preserve"> burst detection e.g. if the UE needs to frequently detect/monitor the PDCCH have been raised. The proposals that have been made by contributions regarding these topics</w:t>
            </w:r>
            <w:r>
              <w:t xml:space="preserve"> include </w:t>
            </w:r>
            <w:r w:rsidRPr="009C2AF8">
              <w:t xml:space="preserve">existing NR signal(s) with potential enhancement(s), </w:t>
            </w:r>
            <w:r>
              <w:t>a</w:t>
            </w:r>
            <w:r w:rsidRPr="009C2AF8">
              <w:t xml:space="preserve"> channel </w:t>
            </w:r>
            <w:r w:rsidRPr="009C2AF8">
              <w:rPr>
                <w:lang w:eastAsia="zh-CN"/>
              </w:rPr>
              <w:t>such as PDCCH with potential enhancement(s)</w:t>
            </w:r>
            <w:r>
              <w:rPr>
                <w:lang w:eastAsia="zh-CN"/>
              </w:rPr>
              <w:t xml:space="preserve">, and the </w:t>
            </w:r>
            <w:r w:rsidRPr="009C2AF8">
              <w:rPr>
                <w:lang w:eastAsia="zh-CN"/>
              </w:rPr>
              <w:t>802.11a/802.11ax preamble with potential enhancement(s)</w:t>
            </w:r>
            <w:r>
              <w:rPr>
                <w:lang w:eastAsia="zh-CN"/>
              </w:rPr>
              <w:t xml:space="preserve">; </w:t>
            </w:r>
            <w:r w:rsidRPr="009C2AF8">
              <w:t>consensus was not achieved</w:t>
            </w:r>
            <w:r>
              <w:t xml:space="preserve"> on any of these proposals</w:t>
            </w:r>
            <w:r w:rsidRPr="009C2AF8">
              <w:t>.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rsidR="00E95B6B" w:rsidRPr="00022EA3" w:rsidRDefault="00E95B6B" w:rsidP="00E95B6B">
            <w:pPr>
              <w:rPr>
                <w:highlight w:val="green"/>
                <w:lang w:eastAsia="x-none"/>
              </w:rPr>
            </w:pPr>
            <w:r w:rsidRPr="00022EA3">
              <w:rPr>
                <w:highlight w:val="green"/>
                <w:lang w:eastAsia="x-none"/>
              </w:rPr>
              <w:t>Agreement:</w:t>
            </w:r>
          </w:p>
          <w:p w:rsidR="00E95B6B" w:rsidRDefault="00E95B6B" w:rsidP="00E95B6B">
            <w:pPr>
              <w:rPr>
                <w:lang w:eastAsia="x-none"/>
              </w:rPr>
            </w:pPr>
            <w:r>
              <w:rPr>
                <w:lang w:eastAsia="x-none"/>
              </w:rPr>
              <w:t>Adopt the following text for the TR:</w:t>
            </w:r>
          </w:p>
          <w:p w:rsidR="00E95B6B" w:rsidRPr="00E95B6B" w:rsidRDefault="00E95B6B" w:rsidP="00E95B6B">
            <w:pPr>
              <w:rPr>
                <w:lang w:eastAsia="x-none"/>
              </w:rPr>
            </w:pPr>
            <w:r w:rsidRPr="009C2AF8">
              <w:rPr>
                <w:lang w:eastAsia="x-none"/>
              </w:rPr>
              <w:t xml:space="preserve">Compared to NR Rel-15, it has been identified </w:t>
            </w:r>
            <w:r>
              <w:rPr>
                <w:lang w:eastAsia="x-none"/>
              </w:rPr>
              <w:t xml:space="preserve">to be </w:t>
            </w:r>
            <w:r w:rsidRPr="009C2AF8">
              <w:rPr>
                <w:lang w:eastAsia="x-none"/>
              </w:rPr>
              <w:t xml:space="preserve">beneficial if the time domain instances in which the UE is expected to receive PDCCH can change dynamically, e.g. by implicit determination related to the </w:t>
            </w:r>
            <w:proofErr w:type="spellStart"/>
            <w:r w:rsidRPr="009C2AF8">
              <w:rPr>
                <w:lang w:eastAsia="x-none"/>
              </w:rPr>
              <w:t>gNB’s</w:t>
            </w:r>
            <w:proofErr w:type="spellEnd"/>
            <w:r w:rsidRPr="009C2AF8">
              <w:rPr>
                <w:lang w:eastAsia="x-none"/>
              </w:rPr>
              <w:t xml:space="preserve"> COT, or explicitly signalled by the </w:t>
            </w:r>
            <w:proofErr w:type="spellStart"/>
            <w:r w:rsidRPr="009C2AF8">
              <w:rPr>
                <w:lang w:eastAsia="x-none"/>
              </w:rPr>
              <w:t>gNB</w:t>
            </w:r>
            <w:proofErr w:type="spellEnd"/>
            <w:r w:rsidRPr="009C2AF8">
              <w:rPr>
                <w:lang w:eastAsia="x-none"/>
              </w:rPr>
              <w:t>.</w:t>
            </w:r>
          </w:p>
        </w:tc>
      </w:tr>
    </w:tbl>
    <w:p w:rsidR="002249BA" w:rsidRDefault="008A1DD5" w:rsidP="00660EF8">
      <w:pPr>
        <w:autoSpaceDN w:val="0"/>
        <w:spacing w:before="120" w:after="0" w:line="280" w:lineRule="atLeast"/>
        <w:ind w:left="1"/>
        <w:contextualSpacing/>
        <w:jc w:val="both"/>
        <w:rPr>
          <w:rFonts w:eastAsiaTheme="minorEastAsia"/>
          <w:lang w:eastAsia="zh-CN"/>
        </w:rPr>
      </w:pPr>
      <w:r>
        <w:rPr>
          <w:rFonts w:eastAsiaTheme="minorEastAsia"/>
          <w:lang w:eastAsia="zh-CN"/>
        </w:rPr>
        <w:lastRenderedPageBreak/>
        <w:t xml:space="preserve"> </w:t>
      </w:r>
    </w:p>
    <w:p w:rsidR="00E95B6B" w:rsidRDefault="001109C0" w:rsidP="00660EF8">
      <w:pPr>
        <w:autoSpaceDN w:val="0"/>
        <w:spacing w:before="120" w:after="0" w:line="280" w:lineRule="atLeast"/>
        <w:ind w:left="1"/>
        <w:contextualSpacing/>
        <w:jc w:val="both"/>
        <w:rPr>
          <w:rFonts w:eastAsia="宋体"/>
          <w:lang w:eastAsia="zh-CN"/>
        </w:rPr>
      </w:pPr>
      <w:r>
        <w:rPr>
          <w:rFonts w:eastAsiaTheme="minorEastAsia"/>
          <w:lang w:eastAsia="zh-CN"/>
        </w:rPr>
        <w:t xml:space="preserve">In </w:t>
      </w:r>
      <w:r w:rsidR="00E80B7B" w:rsidRPr="00B50EDD">
        <w:rPr>
          <w:rFonts w:eastAsiaTheme="minorEastAsia" w:hint="eastAsia"/>
          <w:lang w:eastAsia="zh-CN"/>
        </w:rPr>
        <w:t xml:space="preserve">this contribution, </w:t>
      </w:r>
      <w:r w:rsidR="00E80B7B" w:rsidRPr="00B50EDD">
        <w:rPr>
          <w:rFonts w:eastAsiaTheme="minorEastAsia"/>
          <w:lang w:eastAsia="zh-CN"/>
        </w:rPr>
        <w:t xml:space="preserve">we </w:t>
      </w:r>
      <w:r w:rsidR="00E95B6B">
        <w:rPr>
          <w:rFonts w:eastAsiaTheme="minorEastAsia"/>
          <w:lang w:eastAsia="zh-CN"/>
        </w:rPr>
        <w:t xml:space="preserve">continue the </w:t>
      </w:r>
      <w:r w:rsidR="00316E0C" w:rsidRPr="00B50EDD">
        <w:rPr>
          <w:rFonts w:eastAsiaTheme="minorEastAsia"/>
          <w:lang w:eastAsia="zh-CN"/>
        </w:rPr>
        <w:t>discuss</w:t>
      </w:r>
      <w:r w:rsidR="00E95B6B">
        <w:rPr>
          <w:rFonts w:eastAsiaTheme="minorEastAsia"/>
          <w:lang w:eastAsia="zh-CN"/>
        </w:rPr>
        <w:t>ion of</w:t>
      </w:r>
      <w:r w:rsidR="00316E0C" w:rsidRPr="00B50EDD">
        <w:rPr>
          <w:rFonts w:eastAsiaTheme="minorEastAsia"/>
          <w:lang w:eastAsia="zh-CN"/>
        </w:rPr>
        <w:t xml:space="preserve"> </w:t>
      </w:r>
      <w:r w:rsidR="00D00289">
        <w:rPr>
          <w:rFonts w:eastAsiaTheme="minorEastAsia"/>
          <w:lang w:eastAsia="zh-CN"/>
        </w:rPr>
        <w:t>some</w:t>
      </w:r>
      <w:r w:rsidR="00316E0C" w:rsidRPr="00B50EDD">
        <w:rPr>
          <w:rFonts w:eastAsiaTheme="minorEastAsia"/>
          <w:lang w:eastAsia="zh-CN"/>
        </w:rPr>
        <w:t xml:space="preserve"> </w:t>
      </w:r>
      <w:r w:rsidR="00E95B6B">
        <w:rPr>
          <w:rFonts w:eastAsiaTheme="minorEastAsia"/>
          <w:lang w:eastAsia="zh-CN"/>
        </w:rPr>
        <w:t xml:space="preserve">remaining issues on </w:t>
      </w:r>
      <w:r w:rsidR="00B36DA3" w:rsidRPr="00B50EDD">
        <w:t xml:space="preserve">NR-U </w:t>
      </w:r>
      <w:r w:rsidR="00B36DA3" w:rsidRPr="00B50EDD">
        <w:rPr>
          <w:rFonts w:eastAsia="宋体"/>
          <w:lang w:eastAsia="zh-CN"/>
        </w:rPr>
        <w:t>initial access signals/channels</w:t>
      </w:r>
      <w:r w:rsidR="00E95B6B">
        <w:rPr>
          <w:rFonts w:eastAsia="宋体"/>
          <w:lang w:eastAsia="zh-CN"/>
        </w:rPr>
        <w:t>.</w:t>
      </w:r>
    </w:p>
    <w:p w:rsidR="00316E0C" w:rsidRDefault="00316E0C" w:rsidP="00660EF8">
      <w:pPr>
        <w:autoSpaceDN w:val="0"/>
        <w:spacing w:before="120" w:after="0" w:line="280" w:lineRule="atLeast"/>
        <w:ind w:left="1"/>
        <w:contextualSpacing/>
        <w:jc w:val="both"/>
        <w:rPr>
          <w:lang w:val="en-US" w:eastAsia="ko-KR"/>
        </w:rPr>
      </w:pPr>
    </w:p>
    <w:p w:rsidR="00FC38A1" w:rsidRDefault="00FC38A1" w:rsidP="00FC38A1">
      <w:pPr>
        <w:pStyle w:val="10"/>
      </w:pPr>
      <w:r>
        <w:t>SS/</w:t>
      </w:r>
      <w:r w:rsidR="007E0D07">
        <w:t>PBCH block transmission pattern</w:t>
      </w:r>
    </w:p>
    <w:p w:rsidR="00F56EC9" w:rsidRPr="00F56EC9" w:rsidRDefault="00FC38A1" w:rsidP="00F56EC9">
      <w:pPr>
        <w:rPr>
          <w:rFonts w:cs="Times"/>
          <w:lang w:eastAsia="x-none"/>
        </w:rPr>
      </w:pPr>
      <w:r>
        <w:rPr>
          <w:lang w:eastAsia="en-US"/>
        </w:rPr>
        <w:t>In RAN1#AH1901, the SS/PBCH block transmission pattern within a slot</w:t>
      </w:r>
      <w:r w:rsidR="00D50128">
        <w:rPr>
          <w:lang w:eastAsia="en-US"/>
        </w:rPr>
        <w:t xml:space="preserve"> was discussed</w:t>
      </w:r>
      <w:r>
        <w:rPr>
          <w:lang w:eastAsia="en-US"/>
        </w:rPr>
        <w:t>.</w:t>
      </w:r>
      <w:r w:rsidR="00D50128">
        <w:rPr>
          <w:lang w:eastAsia="en-US"/>
        </w:rPr>
        <w:t xml:space="preserve"> It was agreed that the NR-U supports the transmission of the SS/PBCH with the SCS of </w:t>
      </w:r>
      <w:proofErr w:type="gramStart"/>
      <w:r w:rsidR="00D50128">
        <w:rPr>
          <w:lang w:eastAsia="en-US"/>
        </w:rPr>
        <w:t>15kHz</w:t>
      </w:r>
      <w:proofErr w:type="gramEnd"/>
      <w:r w:rsidR="00D50128">
        <w:rPr>
          <w:lang w:eastAsia="en-US"/>
        </w:rPr>
        <w:t xml:space="preserve"> and 30kHz, and no </w:t>
      </w:r>
      <w:r w:rsidR="00D50128" w:rsidRPr="001243DE">
        <w:rPr>
          <w:rFonts w:cs="Times"/>
          <w:lang w:eastAsia="x-none"/>
        </w:rPr>
        <w:t>changes to the time and frequency position of the PSS/SSS/PBCH relative to each other in one PSS/SSS/PBCH block</w:t>
      </w:r>
      <w:r w:rsidR="00D50128">
        <w:rPr>
          <w:rFonts w:cs="Times"/>
          <w:lang w:eastAsia="x-none"/>
        </w:rPr>
        <w:t xml:space="preserve">. </w:t>
      </w:r>
      <w:r w:rsidR="007E0D07">
        <w:rPr>
          <w:rFonts w:cs="Times"/>
          <w:lang w:eastAsia="x-none"/>
        </w:rPr>
        <w:t>However, the</w:t>
      </w:r>
      <w:r w:rsidR="00F56EC9">
        <w:rPr>
          <w:rFonts w:cs="Times"/>
          <w:lang w:eastAsia="x-none"/>
        </w:rPr>
        <w:t xml:space="preserve">re was no conclusion on the </w:t>
      </w:r>
      <w:r w:rsidR="00F56EC9" w:rsidRPr="00F56EC9">
        <w:rPr>
          <w:rFonts w:cs="Times"/>
          <w:lang w:eastAsia="x-none"/>
        </w:rPr>
        <w:t>SS/PBCH block transmission pattern</w:t>
      </w:r>
      <w:r w:rsidR="00F56EC9">
        <w:rPr>
          <w:rFonts w:cs="Times"/>
          <w:lang w:eastAsia="x-none"/>
        </w:rPr>
        <w:t>.</w:t>
      </w:r>
    </w:p>
    <w:p w:rsidR="00D50128" w:rsidRDefault="00D50128" w:rsidP="00D50128">
      <w:pPr>
        <w:rPr>
          <w:lang w:eastAsia="en-US"/>
        </w:rPr>
      </w:pPr>
      <w:r>
        <w:rPr>
          <w:rFonts w:cs="Times"/>
          <w:lang w:eastAsia="x-none"/>
        </w:rPr>
        <w:t xml:space="preserve">For NR, for 15kHz SCS, the </w:t>
      </w:r>
      <w:r w:rsidRPr="00D50128">
        <w:rPr>
          <w:rFonts w:cs="Times"/>
          <w:lang w:eastAsia="x-none"/>
        </w:rPr>
        <w:t xml:space="preserve">SS/PBCH block transmission </w:t>
      </w:r>
      <w:r>
        <w:rPr>
          <w:rFonts w:cs="Times"/>
          <w:lang w:eastAsia="x-none"/>
        </w:rPr>
        <w:t xml:space="preserve">is defined as Case A </w:t>
      </w:r>
      <w:r>
        <w:rPr>
          <w:lang w:eastAsia="en-US"/>
        </w:rPr>
        <w:t xml:space="preserve">with two SSBs per slot with SSBs at symbols (2,3,4,5) and (8,9,10,11); for 30kHz SCS, there are two </w:t>
      </w:r>
      <w:r w:rsidRPr="00D50128">
        <w:rPr>
          <w:rFonts w:cs="Times"/>
          <w:lang w:eastAsia="x-none"/>
        </w:rPr>
        <w:t>SS/PBCH block transmission</w:t>
      </w:r>
      <w:r>
        <w:rPr>
          <w:rFonts w:cs="Times"/>
          <w:lang w:eastAsia="x-none"/>
        </w:rPr>
        <w:t>s. Case B</w:t>
      </w:r>
      <w:r w:rsidRPr="00D50128">
        <w:rPr>
          <w:rFonts w:cs="Times"/>
          <w:lang w:eastAsia="x-none"/>
        </w:rPr>
        <w:t xml:space="preserve"> </w:t>
      </w:r>
      <w:r>
        <w:rPr>
          <w:rFonts w:cs="Times"/>
          <w:lang w:eastAsia="x-none"/>
        </w:rPr>
        <w:t xml:space="preserve">is defined for the support of the LTE-coexistence </w:t>
      </w:r>
      <w:r>
        <w:rPr>
          <w:lang w:eastAsia="en-US"/>
        </w:rPr>
        <w:t>with two SSBs per slot with SSBs with two SSBs per slot with SSBs at symbols (4,5,6,7), (8,9,10,11) in even slot and symbols (2,3,4,5), (6,7,8,9) in odd slot; and Case C is defined similar with Case A, i.e.,  two SSBs per slot with SSBs at symbols (2,3,4,5) and (8,9,10,11).</w:t>
      </w:r>
    </w:p>
    <w:p w:rsidR="00D50128" w:rsidRDefault="00D50128" w:rsidP="00D50128">
      <w:pPr>
        <w:rPr>
          <w:lang w:eastAsia="en-US"/>
        </w:rPr>
      </w:pPr>
      <w:r>
        <w:rPr>
          <w:lang w:eastAsia="en-US"/>
        </w:rPr>
        <w:t xml:space="preserve">For NR-U, it seems no need to consider the support of the scenarios of </w:t>
      </w:r>
      <w:r>
        <w:rPr>
          <w:rFonts w:cs="Times"/>
          <w:lang w:eastAsia="x-none"/>
        </w:rPr>
        <w:t xml:space="preserve">LTE-coexistence. Thus, the </w:t>
      </w:r>
      <w:r w:rsidRPr="00D50128">
        <w:rPr>
          <w:rFonts w:cs="Times"/>
          <w:lang w:eastAsia="x-none"/>
        </w:rPr>
        <w:t xml:space="preserve">SS/PBCH block transmission </w:t>
      </w:r>
      <w:r>
        <w:rPr>
          <w:rFonts w:cs="Times"/>
          <w:lang w:eastAsia="x-none"/>
        </w:rPr>
        <w:t xml:space="preserve">patterns for both 15kHz and 30kHz can have the same transmission pattern, i.e., </w:t>
      </w:r>
      <w:r w:rsidR="00697E9E">
        <w:rPr>
          <w:lang w:eastAsia="en-US"/>
        </w:rPr>
        <w:t>two SSBs per slot with SSBs at symbols (2,3,4,5) and (8,9,10,11).</w:t>
      </w:r>
    </w:p>
    <w:p w:rsidR="00697E9E" w:rsidRDefault="00697E9E" w:rsidP="00CB0921">
      <w:pPr>
        <w:pStyle w:val="afa"/>
        <w:jc w:val="left"/>
        <w:rPr>
          <w:i/>
          <w:lang w:val="en-US" w:eastAsia="en-US"/>
        </w:rPr>
      </w:pPr>
      <w:r w:rsidRPr="005D3BBC">
        <w:rPr>
          <w:lang w:eastAsia="en-US"/>
        </w:rPr>
        <w:t xml:space="preserve"> </w:t>
      </w:r>
      <w:bookmarkStart w:id="4" w:name="_Toc1057273"/>
      <w:bookmarkStart w:id="5" w:name="_Toc1057688"/>
      <w:r w:rsidR="00CB0921">
        <w:t xml:space="preserve">Proposal </w:t>
      </w:r>
      <w:r w:rsidR="00CB0921">
        <w:fldChar w:fldCharType="begin"/>
      </w:r>
      <w:r w:rsidR="00CB0921">
        <w:instrText xml:space="preserve"> SEQ Proposal \* ARABIC </w:instrText>
      </w:r>
      <w:r w:rsidR="00CB0921">
        <w:fldChar w:fldCharType="separate"/>
      </w:r>
      <w:r w:rsidR="00CB0921">
        <w:t>1</w:t>
      </w:r>
      <w:r w:rsidR="00CB0921">
        <w:fldChar w:fldCharType="end"/>
      </w:r>
      <w:r w:rsidR="00CB0921">
        <w:rPr>
          <w:rFonts w:asciiTheme="minorEastAsia" w:eastAsiaTheme="minorEastAsia" w:hAnsiTheme="minorEastAsia" w:hint="eastAsia"/>
          <w:lang w:eastAsia="zh-CN"/>
        </w:rPr>
        <w:t>：</w:t>
      </w:r>
      <w:r>
        <w:rPr>
          <w:i/>
          <w:lang w:val="en-US" w:eastAsia="en-US"/>
        </w:rPr>
        <w:t xml:space="preserve">For the transmission of the SS/PBCH blocks with 15kHz SCS, NR-U uses the same </w:t>
      </w:r>
      <w:r>
        <w:rPr>
          <w:rFonts w:cs="Times"/>
          <w:i/>
          <w:lang w:eastAsia="x-none"/>
        </w:rPr>
        <w:t xml:space="preserve">pattern as Case A defined for the  </w:t>
      </w:r>
      <w:r>
        <w:rPr>
          <w:i/>
          <w:lang w:val="en-US" w:eastAsia="en-US"/>
        </w:rPr>
        <w:t>SS/PBCH blocks with 15kHz SCS in NR;</w:t>
      </w:r>
      <w:bookmarkEnd w:id="4"/>
      <w:bookmarkEnd w:id="5"/>
    </w:p>
    <w:p w:rsidR="00697E9E" w:rsidRDefault="00697E9E" w:rsidP="00CB0921">
      <w:pPr>
        <w:pStyle w:val="afa"/>
        <w:jc w:val="left"/>
        <w:rPr>
          <w:i/>
          <w:lang w:val="en-US" w:eastAsia="en-US"/>
        </w:rPr>
      </w:pPr>
      <w:r w:rsidRPr="005D3BBC">
        <w:rPr>
          <w:lang w:eastAsia="en-US"/>
        </w:rPr>
        <w:t xml:space="preserve"> </w:t>
      </w:r>
      <w:bookmarkStart w:id="6" w:name="_Toc1057274"/>
      <w:bookmarkStart w:id="7" w:name="_Toc1057689"/>
      <w:r w:rsidR="00CB0921">
        <w:t xml:space="preserve">Proposal </w:t>
      </w:r>
      <w:r w:rsidR="00CB0921">
        <w:fldChar w:fldCharType="begin"/>
      </w:r>
      <w:r w:rsidR="00CB0921">
        <w:instrText xml:space="preserve"> SEQ Proposal \* ARABIC </w:instrText>
      </w:r>
      <w:r w:rsidR="00CB0921">
        <w:fldChar w:fldCharType="separate"/>
      </w:r>
      <w:r w:rsidR="00CB0921">
        <w:t>2</w:t>
      </w:r>
      <w:r w:rsidR="00CB0921">
        <w:fldChar w:fldCharType="end"/>
      </w:r>
      <w:r>
        <w:rPr>
          <w:i/>
          <w:lang w:val="en-US" w:eastAsia="en-US"/>
        </w:rPr>
        <w:t xml:space="preserve">: For the transmission of the SS/PBCH blocks with 30kHz SCS, NR-U uses the same </w:t>
      </w:r>
      <w:r>
        <w:rPr>
          <w:rFonts w:cs="Times"/>
          <w:i/>
          <w:lang w:eastAsia="x-none"/>
        </w:rPr>
        <w:t xml:space="preserve">pattern as Case C defined for the  </w:t>
      </w:r>
      <w:r>
        <w:rPr>
          <w:i/>
          <w:lang w:val="en-US" w:eastAsia="en-US"/>
        </w:rPr>
        <w:t>SS/PBCH blocks with 30kHz SCS in NR;</w:t>
      </w:r>
      <w:bookmarkEnd w:id="6"/>
      <w:bookmarkEnd w:id="7"/>
    </w:p>
    <w:p w:rsidR="00A079E5" w:rsidRDefault="00A079E5" w:rsidP="00A079E5">
      <w:pPr>
        <w:pStyle w:val="10"/>
      </w:pPr>
      <w:r w:rsidRPr="00BF7DFC">
        <w:t>OCB requirement during SSB transmission</w:t>
      </w:r>
    </w:p>
    <w:p w:rsidR="00A079E5" w:rsidRDefault="00A079E5" w:rsidP="00A079E5">
      <w:pPr>
        <w:rPr>
          <w:lang w:eastAsia="en-US"/>
        </w:rPr>
      </w:pPr>
      <w:r>
        <w:rPr>
          <w:lang w:eastAsia="en-US"/>
        </w:rPr>
        <w:t xml:space="preserve">In RAN1#AH1901, it was discussed on how to meet </w:t>
      </w:r>
      <w:r w:rsidRPr="00214FF4">
        <w:rPr>
          <w:lang w:eastAsia="en-US"/>
        </w:rPr>
        <w:t>OCB requirement during SSB transmission</w:t>
      </w:r>
      <w:r>
        <w:rPr>
          <w:lang w:eastAsia="en-US"/>
        </w:rPr>
        <w:t xml:space="preserve"> with the </w:t>
      </w:r>
      <w:r w:rsidRPr="00214FF4">
        <w:rPr>
          <w:lang w:eastAsia="en-US"/>
        </w:rPr>
        <w:t>mul</w:t>
      </w:r>
      <w:r>
        <w:rPr>
          <w:lang w:eastAsia="en-US"/>
        </w:rPr>
        <w:t>tiplex of</w:t>
      </w:r>
      <w:r w:rsidRPr="00214FF4">
        <w:rPr>
          <w:lang w:eastAsia="en-US"/>
        </w:rPr>
        <w:t xml:space="preserve"> other signals/channels </w:t>
      </w:r>
      <w:r>
        <w:rPr>
          <w:lang w:eastAsia="en-US"/>
        </w:rPr>
        <w:t xml:space="preserve">with SSB transmission. A number of options were proposed </w:t>
      </w:r>
      <w:r w:rsidR="00374A8E">
        <w:rPr>
          <w:lang w:eastAsia="en-US"/>
        </w:rPr>
        <w:t>[4]</w:t>
      </w:r>
      <w:r>
        <w:rPr>
          <w:lang w:eastAsia="en-US"/>
        </w:rPr>
        <w:t>, e.g.:</w:t>
      </w:r>
    </w:p>
    <w:p w:rsidR="00A079E5" w:rsidRDefault="00A079E5" w:rsidP="00744979">
      <w:pPr>
        <w:pStyle w:val="afb"/>
        <w:numPr>
          <w:ilvl w:val="0"/>
          <w:numId w:val="40"/>
        </w:numPr>
        <w:rPr>
          <w:lang w:eastAsia="en-US"/>
        </w:rPr>
      </w:pPr>
      <w:r>
        <w:rPr>
          <w:lang w:eastAsia="en-US"/>
        </w:rPr>
        <w:t>FDM RMSI (and possibly CSI/RS) with SSB</w:t>
      </w:r>
    </w:p>
    <w:p w:rsidR="00A079E5" w:rsidRDefault="00A079E5" w:rsidP="00744979">
      <w:pPr>
        <w:pStyle w:val="afb"/>
        <w:numPr>
          <w:ilvl w:val="0"/>
          <w:numId w:val="40"/>
        </w:numPr>
        <w:rPr>
          <w:lang w:eastAsia="en-US"/>
        </w:rPr>
      </w:pPr>
      <w:r>
        <w:rPr>
          <w:lang w:eastAsia="en-US"/>
        </w:rPr>
        <w:t>Multiplex SSB and CSI-RS</w:t>
      </w:r>
    </w:p>
    <w:p w:rsidR="00A079E5" w:rsidRDefault="00A079E5" w:rsidP="00744979">
      <w:pPr>
        <w:pStyle w:val="afb"/>
        <w:numPr>
          <w:ilvl w:val="0"/>
          <w:numId w:val="40"/>
        </w:numPr>
        <w:rPr>
          <w:lang w:eastAsia="en-US"/>
        </w:rPr>
      </w:pPr>
      <w:r>
        <w:rPr>
          <w:lang w:eastAsia="en-US"/>
        </w:rPr>
        <w:t>RM RMSI with SSB</w:t>
      </w:r>
    </w:p>
    <w:p w:rsidR="00A079E5" w:rsidRDefault="00A079E5" w:rsidP="00744979">
      <w:pPr>
        <w:pStyle w:val="afb"/>
        <w:numPr>
          <w:ilvl w:val="0"/>
          <w:numId w:val="40"/>
        </w:numPr>
        <w:rPr>
          <w:lang w:eastAsia="en-US"/>
        </w:rPr>
      </w:pPr>
      <w:r>
        <w:rPr>
          <w:lang w:eastAsia="en-US"/>
        </w:rPr>
        <w:lastRenderedPageBreak/>
        <w:t>Repeat SSB</w:t>
      </w:r>
    </w:p>
    <w:p w:rsidR="00A079E5" w:rsidRDefault="00A079E5" w:rsidP="00744979">
      <w:pPr>
        <w:pStyle w:val="afb"/>
        <w:numPr>
          <w:ilvl w:val="0"/>
          <w:numId w:val="40"/>
        </w:numPr>
        <w:rPr>
          <w:lang w:eastAsia="en-US"/>
        </w:rPr>
      </w:pPr>
      <w:r>
        <w:rPr>
          <w:lang w:eastAsia="en-US"/>
        </w:rPr>
        <w:t>Change of the SSB design</w:t>
      </w:r>
    </w:p>
    <w:p w:rsidR="00A079E5" w:rsidRDefault="00A079E5" w:rsidP="00744979">
      <w:pPr>
        <w:pStyle w:val="afb"/>
        <w:numPr>
          <w:ilvl w:val="0"/>
          <w:numId w:val="40"/>
        </w:numPr>
        <w:rPr>
          <w:lang w:eastAsia="en-US"/>
        </w:rPr>
      </w:pPr>
      <w:r>
        <w:rPr>
          <w:lang w:eastAsia="en-US"/>
        </w:rPr>
        <w:t xml:space="preserve">Up to </w:t>
      </w:r>
      <w:proofErr w:type="spellStart"/>
      <w:r>
        <w:rPr>
          <w:lang w:eastAsia="en-US"/>
        </w:rPr>
        <w:t>gNB</w:t>
      </w:r>
      <w:proofErr w:type="spellEnd"/>
      <w:r>
        <w:rPr>
          <w:lang w:eastAsia="en-US"/>
        </w:rPr>
        <w:t xml:space="preserve"> to schedule the transmission of </w:t>
      </w:r>
      <w:r w:rsidRPr="00214FF4">
        <w:rPr>
          <w:lang w:eastAsia="en-US"/>
        </w:rPr>
        <w:t xml:space="preserve">other signals/channels </w:t>
      </w:r>
      <w:r>
        <w:rPr>
          <w:lang w:eastAsia="en-US"/>
        </w:rPr>
        <w:t>to satisfy OCB requirement</w:t>
      </w:r>
    </w:p>
    <w:p w:rsidR="00A079E5" w:rsidRDefault="00A079E5" w:rsidP="00744979">
      <w:pPr>
        <w:pStyle w:val="afb"/>
        <w:numPr>
          <w:ilvl w:val="0"/>
          <w:numId w:val="40"/>
        </w:numPr>
        <w:rPr>
          <w:lang w:eastAsia="en-US"/>
        </w:rPr>
      </w:pPr>
      <w:r>
        <w:rPr>
          <w:lang w:eastAsia="en-US"/>
        </w:rPr>
        <w:t>Etc.</w:t>
      </w:r>
    </w:p>
    <w:p w:rsidR="00A079E5" w:rsidRDefault="00A079E5" w:rsidP="00A079E5">
      <w:pPr>
        <w:pStyle w:val="afb"/>
        <w:rPr>
          <w:lang w:eastAsia="en-US"/>
        </w:rPr>
      </w:pPr>
    </w:p>
    <w:p w:rsidR="00A079E5" w:rsidRDefault="00A079E5" w:rsidP="00A079E5">
      <w:pPr>
        <w:rPr>
          <w:lang w:eastAsia="en-US"/>
        </w:rPr>
      </w:pPr>
      <w:r>
        <w:rPr>
          <w:lang w:eastAsia="en-US"/>
        </w:rPr>
        <w:t xml:space="preserve">In order to meet the meet </w:t>
      </w:r>
      <w:r w:rsidRPr="00214FF4">
        <w:rPr>
          <w:lang w:eastAsia="en-US"/>
        </w:rPr>
        <w:t>OCB requirement during SSB transmission</w:t>
      </w:r>
      <w:r>
        <w:rPr>
          <w:lang w:eastAsia="en-US"/>
        </w:rPr>
        <w:t>, the simple approach may be to FDM the RMSI with the SSB. The approach may, however, result in the situation that the REs of other OS within the SSB BW cannot the used due to the current requirement that “W</w:t>
      </w:r>
      <w:r w:rsidRPr="00497C66">
        <w:rPr>
          <w:lang w:eastAsia="en-US"/>
        </w:rPr>
        <w:t>hen receiving the PDSCH scheduled with SI-RNTI and the system information indicator in DCI is set to 0, the UE shall assume that no SS/PBCH block is transmitted in REs used by the UE for a rec</w:t>
      </w:r>
      <w:r>
        <w:rPr>
          <w:lang w:eastAsia="en-US"/>
        </w:rPr>
        <w:t xml:space="preserve">eption of the PDSCH” as defined in TS 38.214, i.e., it will </w:t>
      </w:r>
      <w:r w:rsidRPr="00497C66">
        <w:rPr>
          <w:lang w:eastAsia="en-US"/>
        </w:rPr>
        <w:t>reduce</w:t>
      </w:r>
      <w:r>
        <w:rPr>
          <w:lang w:eastAsia="en-US"/>
        </w:rPr>
        <w:t xml:space="preserve"> the resource usage efficiency of </w:t>
      </w:r>
      <w:r w:rsidRPr="00497C66">
        <w:rPr>
          <w:lang w:eastAsia="en-US"/>
        </w:rPr>
        <w:t xml:space="preserve">PDSCH </w:t>
      </w:r>
      <w:r>
        <w:rPr>
          <w:lang w:eastAsia="en-US"/>
        </w:rPr>
        <w:t>scheduling for the transmission of the RMSI.</w:t>
      </w:r>
    </w:p>
    <w:p w:rsidR="00A079E5" w:rsidRDefault="00A079E5" w:rsidP="00A079E5">
      <w:pPr>
        <w:rPr>
          <w:lang w:eastAsia="en-US"/>
        </w:rPr>
      </w:pPr>
      <w:r>
        <w:rPr>
          <w:lang w:eastAsia="en-US"/>
        </w:rPr>
        <w:t xml:space="preserve">The issue of the resource usage efficiency of </w:t>
      </w:r>
      <w:r w:rsidRPr="00497C66">
        <w:rPr>
          <w:lang w:eastAsia="en-US"/>
        </w:rPr>
        <w:t xml:space="preserve">PDSCH </w:t>
      </w:r>
      <w:r>
        <w:rPr>
          <w:lang w:eastAsia="en-US"/>
        </w:rPr>
        <w:t>scheduling for RMSI can be avoided if NR-U supports the RM around the SSB within the DRS duration.</w:t>
      </w:r>
    </w:p>
    <w:p w:rsidR="00A079E5" w:rsidRDefault="00CB0921" w:rsidP="00CB0921">
      <w:pPr>
        <w:pStyle w:val="afa"/>
        <w:jc w:val="left"/>
        <w:rPr>
          <w:i/>
          <w:lang w:val="en-US" w:eastAsia="en-US"/>
        </w:rPr>
      </w:pPr>
      <w:bookmarkStart w:id="8" w:name="_Toc1057275"/>
      <w:bookmarkStart w:id="9" w:name="_Toc1057690"/>
      <w:r>
        <w:t xml:space="preserve">Proposal </w:t>
      </w:r>
      <w:r>
        <w:fldChar w:fldCharType="begin"/>
      </w:r>
      <w:r>
        <w:instrText xml:space="preserve"> SEQ Proposal \* ARABIC </w:instrText>
      </w:r>
      <w:r>
        <w:fldChar w:fldCharType="separate"/>
      </w:r>
      <w:r>
        <w:t>3</w:t>
      </w:r>
      <w:r>
        <w:fldChar w:fldCharType="end"/>
      </w:r>
      <w:r w:rsidR="00A079E5" w:rsidRPr="009C1846">
        <w:rPr>
          <w:i/>
          <w:lang w:val="en-US" w:eastAsia="en-US"/>
        </w:rPr>
        <w:t xml:space="preserve">: </w:t>
      </w:r>
      <w:r w:rsidR="00A079E5">
        <w:rPr>
          <w:i/>
          <w:lang w:val="en-US" w:eastAsia="en-US"/>
        </w:rPr>
        <w:t xml:space="preserve">NR-U may consider using the RM of the PDSCH scheduling around the SSB within the DRS transmission duration for </w:t>
      </w:r>
      <w:r w:rsidR="00A079E5" w:rsidRPr="00497C66">
        <w:rPr>
          <w:i/>
          <w:lang w:val="en-US" w:eastAsia="en-US"/>
        </w:rPr>
        <w:t>meet</w:t>
      </w:r>
      <w:r w:rsidR="00A079E5">
        <w:rPr>
          <w:i/>
          <w:lang w:val="en-US" w:eastAsia="en-US"/>
        </w:rPr>
        <w:t>ing OCB requirement.</w:t>
      </w:r>
      <w:bookmarkEnd w:id="8"/>
      <w:bookmarkEnd w:id="9"/>
    </w:p>
    <w:p w:rsidR="00A079E5" w:rsidRPr="008E5C0C" w:rsidRDefault="00A079E5" w:rsidP="00A079E5">
      <w:pPr>
        <w:pStyle w:val="10"/>
      </w:pPr>
      <w:r w:rsidRPr="008E5C0C">
        <w:t>NR-U CORESET Configuration</w:t>
      </w:r>
    </w:p>
    <w:p w:rsidR="00A079E5" w:rsidRDefault="00A079E5" w:rsidP="00A079E5">
      <w:pPr>
        <w:rPr>
          <w:color w:val="000000" w:themeColor="text1"/>
        </w:rPr>
      </w:pPr>
      <w:r>
        <w:t xml:space="preserve">The BWP in NR-U operation may be much larger than 20MHz. The </w:t>
      </w:r>
      <w:r>
        <w:rPr>
          <w:color w:val="000000" w:themeColor="text1"/>
        </w:rPr>
        <w:t xml:space="preserve">LBT operation, however, needs to be </w:t>
      </w:r>
      <w:r w:rsidRPr="008F5D18">
        <w:rPr>
          <w:color w:val="000000" w:themeColor="text1"/>
        </w:rPr>
        <w:t xml:space="preserve">performed in </w:t>
      </w:r>
      <w:r>
        <w:rPr>
          <w:color w:val="000000" w:themeColor="text1"/>
        </w:rPr>
        <w:t xml:space="preserve">the </w:t>
      </w:r>
      <w:r w:rsidRPr="008F5D18">
        <w:rPr>
          <w:color w:val="000000" w:themeColor="text1"/>
        </w:rPr>
        <w:t>sub-band</w:t>
      </w:r>
      <w:r>
        <w:rPr>
          <w:color w:val="000000" w:themeColor="text1"/>
        </w:rPr>
        <w:t>s</w:t>
      </w:r>
      <w:r w:rsidRPr="008F5D18">
        <w:rPr>
          <w:color w:val="000000" w:themeColor="text1"/>
        </w:rPr>
        <w:t xml:space="preserve"> with </w:t>
      </w:r>
      <w:r>
        <w:rPr>
          <w:color w:val="000000" w:themeColor="text1"/>
        </w:rPr>
        <w:t xml:space="preserve">bandwidth of 20MHz due to the consideration of the co-existence with </w:t>
      </w:r>
      <w:proofErr w:type="spellStart"/>
      <w:r>
        <w:rPr>
          <w:color w:val="000000" w:themeColor="text1"/>
        </w:rPr>
        <w:t>WiFi</w:t>
      </w:r>
      <w:proofErr w:type="spellEnd"/>
      <w:r>
        <w:rPr>
          <w:color w:val="000000" w:themeColor="text1"/>
        </w:rPr>
        <w:t xml:space="preserve">.  </w:t>
      </w:r>
      <w:r w:rsidRPr="008F5D18">
        <w:rPr>
          <w:color w:val="000000" w:themeColor="text1"/>
        </w:rPr>
        <w:t>The</w:t>
      </w:r>
      <w:r>
        <w:rPr>
          <w:color w:val="000000" w:themeColor="text1"/>
        </w:rPr>
        <w:t xml:space="preserve"> success of the LBT operation in one sub-band does not necessarily warrantee the transmission operation in another sub-band. Thus, unlike NR operation, where the RMSI CORESET BW can be freely configured up to the total bandwidth of a BWP, there is a need to consider the limitation of the LBT BW for the RMSI CORESET configuration. A number of options were discussed in previous meetings [2]</w:t>
      </w:r>
      <w:proofErr w:type="gramStart"/>
      <w:r>
        <w:rPr>
          <w:color w:val="000000" w:themeColor="text1"/>
        </w:rPr>
        <w:t>,</w:t>
      </w:r>
      <w:proofErr w:type="gramEnd"/>
      <w:r>
        <w:rPr>
          <w:color w:val="000000" w:themeColor="text1"/>
        </w:rPr>
        <w:t xml:space="preserve"> some companies proposed the RMSI CORESET </w:t>
      </w:r>
      <w:r w:rsidRPr="008A0E12">
        <w:rPr>
          <w:color w:val="000000" w:themeColor="text1"/>
        </w:rPr>
        <w:t>be confined within a single Clear Channel Assessment</w:t>
      </w:r>
      <w:r>
        <w:rPr>
          <w:color w:val="000000" w:themeColor="text1"/>
        </w:rPr>
        <w:t xml:space="preserve"> (</w:t>
      </w:r>
      <w:r w:rsidRPr="008A0E12">
        <w:rPr>
          <w:color w:val="000000" w:themeColor="text1"/>
        </w:rPr>
        <w:t>CCA</w:t>
      </w:r>
      <w:r>
        <w:rPr>
          <w:color w:val="000000" w:themeColor="text1"/>
        </w:rPr>
        <w:t>)</w:t>
      </w:r>
      <w:r w:rsidRPr="008A0E12">
        <w:rPr>
          <w:color w:val="000000" w:themeColor="text1"/>
        </w:rPr>
        <w:t xml:space="preserve"> sub-band</w:t>
      </w:r>
      <w:r>
        <w:rPr>
          <w:color w:val="000000" w:themeColor="text1"/>
        </w:rPr>
        <w:t>, while some other companies proposed more flexible RMSI CORESET configurations.</w:t>
      </w:r>
    </w:p>
    <w:p w:rsidR="00A079E5" w:rsidRDefault="00A079E5" w:rsidP="00A079E5">
      <w:pPr>
        <w:rPr>
          <w:color w:val="000000" w:themeColor="text1"/>
        </w:rPr>
      </w:pPr>
      <w:r>
        <w:rPr>
          <w:color w:val="000000" w:themeColor="text1"/>
        </w:rPr>
        <w:t xml:space="preserve">Limiting the RMSI CORESET bandwidth to be the same as that of the CCA </w:t>
      </w:r>
      <w:r w:rsidRPr="008A0E12">
        <w:rPr>
          <w:color w:val="000000" w:themeColor="text1"/>
        </w:rPr>
        <w:t>sub-band</w:t>
      </w:r>
      <w:r>
        <w:rPr>
          <w:color w:val="000000" w:themeColor="text1"/>
        </w:rPr>
        <w:t xml:space="preserve"> has the obvious advantage in the </w:t>
      </w:r>
      <w:r w:rsidRPr="005008FC">
        <w:rPr>
          <w:noProof/>
          <w:color w:val="000000" w:themeColor="text1"/>
        </w:rPr>
        <w:t>implementation,</w:t>
      </w:r>
      <w:r>
        <w:rPr>
          <w:color w:val="000000" w:themeColor="text1"/>
        </w:rPr>
        <w:t xml:space="preserve"> while allowing the RMSI CORESET bandwidth to be anywhere in the BWP will have the benefits of more flexibility in the RMSI CORESET resource allocation and provide potentially more reliable detection on the RMSI CORESET. To avoid the complexity, it may be better just having the configuration of one RMSI CORESET for each CCA </w:t>
      </w:r>
      <w:r w:rsidRPr="008A0E12">
        <w:rPr>
          <w:color w:val="000000" w:themeColor="text1"/>
        </w:rPr>
        <w:t>sub-band</w:t>
      </w:r>
      <w:r>
        <w:rPr>
          <w:color w:val="000000" w:themeColor="text1"/>
        </w:rPr>
        <w:t>.</w:t>
      </w:r>
    </w:p>
    <w:p w:rsidR="00A079E5" w:rsidRDefault="00A079E5" w:rsidP="00CB0921">
      <w:pPr>
        <w:pStyle w:val="afa"/>
        <w:jc w:val="left"/>
        <w:rPr>
          <w:lang w:val="en-US" w:eastAsia="en-US"/>
        </w:rPr>
      </w:pPr>
      <w:r w:rsidRPr="005D3BBC">
        <w:rPr>
          <w:lang w:eastAsia="en-US"/>
        </w:rPr>
        <w:t xml:space="preserve"> </w:t>
      </w:r>
      <w:bookmarkStart w:id="10" w:name="_Toc883305"/>
      <w:bookmarkStart w:id="11" w:name="_Toc1057276"/>
      <w:bookmarkStart w:id="12" w:name="_Toc1057691"/>
      <w:r w:rsidR="00CB0921">
        <w:t xml:space="preserve">Proposal </w:t>
      </w:r>
      <w:r w:rsidR="00CB0921">
        <w:fldChar w:fldCharType="begin"/>
      </w:r>
      <w:r w:rsidR="00CB0921">
        <w:instrText xml:space="preserve"> SEQ Proposal \* ARABIC </w:instrText>
      </w:r>
      <w:r w:rsidR="00CB0921">
        <w:fldChar w:fldCharType="separate"/>
      </w:r>
      <w:r w:rsidR="00CB0921">
        <w:t>4</w:t>
      </w:r>
      <w:r w:rsidR="00CB0921">
        <w:fldChar w:fldCharType="end"/>
      </w:r>
      <w:r>
        <w:rPr>
          <w:i/>
          <w:lang w:val="en-US" w:eastAsia="en-US"/>
        </w:rPr>
        <w:t xml:space="preserve">: </w:t>
      </w:r>
      <w:r w:rsidRPr="005D3BBC">
        <w:rPr>
          <w:i/>
          <w:lang w:val="en-US" w:eastAsia="en-US"/>
        </w:rPr>
        <w:t>For simplicity, NR-U may consider supporting the configuration of one RMSI CORESET per CCA sub-band. The RMSI CORESET bandwidth is constraint within the CCA sub-band</w:t>
      </w:r>
      <w:r>
        <w:rPr>
          <w:i/>
          <w:lang w:val="en-US" w:eastAsia="en-US"/>
        </w:rPr>
        <w:t>.</w:t>
      </w:r>
      <w:bookmarkEnd w:id="10"/>
      <w:bookmarkEnd w:id="11"/>
      <w:bookmarkEnd w:id="12"/>
    </w:p>
    <w:p w:rsidR="00A079E5" w:rsidRDefault="00A079E5" w:rsidP="00A079E5">
      <w:pPr>
        <w:pStyle w:val="10"/>
      </w:pPr>
      <w:r w:rsidRPr="00A079E5">
        <w:t>Type0</w:t>
      </w:r>
      <w:r>
        <w:t>-PDCCH monitoring configuration</w:t>
      </w:r>
    </w:p>
    <w:p w:rsidR="00697E9E" w:rsidRDefault="00F56EC9" w:rsidP="00D50128">
      <w:pPr>
        <w:rPr>
          <w:rFonts w:cs="Times"/>
          <w:lang w:eastAsia="x-none"/>
        </w:rPr>
      </w:pPr>
      <w:r>
        <w:rPr>
          <w:lang w:eastAsia="en-US"/>
        </w:rPr>
        <w:t>In RAN1#AH1901,</w:t>
      </w:r>
      <w:r w:rsidR="007E0D07">
        <w:rPr>
          <w:rFonts w:cs="Times"/>
          <w:lang w:eastAsia="x-none"/>
        </w:rPr>
        <w:t xml:space="preserve"> it was agreed to support </w:t>
      </w:r>
      <w:r w:rsidR="007E0D07" w:rsidRPr="001243DE">
        <w:rPr>
          <w:rFonts w:cs="Times"/>
          <w:lang w:eastAsia="x-none"/>
        </w:rPr>
        <w:t>the monitoring of Type0 PDCCH of the 2</w:t>
      </w:r>
      <w:r w:rsidR="007E0D07" w:rsidRPr="001243DE">
        <w:rPr>
          <w:rFonts w:cs="Times"/>
          <w:vertAlign w:val="superscript"/>
          <w:lang w:eastAsia="x-none"/>
        </w:rPr>
        <w:t>nd</w:t>
      </w:r>
      <w:r w:rsidR="007E0D07" w:rsidRPr="001243DE">
        <w:rPr>
          <w:rFonts w:cs="Times"/>
          <w:lang w:eastAsia="x-none"/>
        </w:rPr>
        <w:t xml:space="preserve"> SSB position in a slot in the gap between 1</w:t>
      </w:r>
      <w:r w:rsidR="007E0D07" w:rsidRPr="001243DE">
        <w:rPr>
          <w:rFonts w:cs="Times"/>
          <w:vertAlign w:val="superscript"/>
          <w:lang w:eastAsia="x-none"/>
        </w:rPr>
        <w:t>st</w:t>
      </w:r>
      <w:r w:rsidR="007E0D07" w:rsidRPr="001243DE">
        <w:rPr>
          <w:rFonts w:cs="Times"/>
          <w:lang w:eastAsia="x-none"/>
        </w:rPr>
        <w:t xml:space="preserve"> and 2</w:t>
      </w:r>
      <w:r w:rsidR="007E0D07" w:rsidRPr="001243DE">
        <w:rPr>
          <w:rFonts w:cs="Times"/>
          <w:vertAlign w:val="superscript"/>
          <w:lang w:eastAsia="x-none"/>
        </w:rPr>
        <w:t>nd</w:t>
      </w:r>
      <w:r w:rsidR="007E0D07" w:rsidRPr="001243DE">
        <w:rPr>
          <w:rFonts w:cs="Times"/>
          <w:lang w:eastAsia="x-none"/>
        </w:rPr>
        <w:t xml:space="preserve"> SSB within the slot</w:t>
      </w:r>
      <w:r>
        <w:rPr>
          <w:rFonts w:cs="Times"/>
          <w:lang w:eastAsia="x-none"/>
        </w:rPr>
        <w:t xml:space="preserve">. The starting position of the </w:t>
      </w:r>
      <w:r w:rsidRPr="001243DE">
        <w:rPr>
          <w:rFonts w:cs="Times"/>
          <w:lang w:eastAsia="x-none"/>
        </w:rPr>
        <w:t xml:space="preserve">monitoring of Type0 PDCCH </w:t>
      </w:r>
      <w:r>
        <w:rPr>
          <w:rFonts w:cs="Times"/>
          <w:lang w:eastAsia="x-none"/>
        </w:rPr>
        <w:t xml:space="preserve">remains </w:t>
      </w:r>
      <w:r w:rsidR="007E0D07">
        <w:rPr>
          <w:rFonts w:cs="Times"/>
          <w:lang w:eastAsia="x-none"/>
        </w:rPr>
        <w:t xml:space="preserve">as FFS. </w:t>
      </w:r>
    </w:p>
    <w:p w:rsidR="009C1846" w:rsidRDefault="00F56EC9" w:rsidP="009C1846">
      <w:pPr>
        <w:rPr>
          <w:lang w:val="en-US" w:eastAsia="en-US"/>
        </w:rPr>
      </w:pPr>
      <w:r w:rsidRPr="00F56EC9">
        <w:rPr>
          <w:rFonts w:cs="Times"/>
          <w:lang w:eastAsia="x-none"/>
        </w:rPr>
        <w:t xml:space="preserve">If the </w:t>
      </w:r>
      <w:r w:rsidRPr="00F56EC9">
        <w:rPr>
          <w:lang w:val="en-US" w:eastAsia="en-US"/>
        </w:rPr>
        <w:t xml:space="preserve">transmission patterns of Case A for SSB </w:t>
      </w:r>
      <w:proofErr w:type="gramStart"/>
      <w:r w:rsidRPr="00F56EC9">
        <w:rPr>
          <w:lang w:val="en-US" w:eastAsia="en-US"/>
        </w:rPr>
        <w:t>15kHz</w:t>
      </w:r>
      <w:proofErr w:type="gramEnd"/>
      <w:r w:rsidRPr="00F56EC9">
        <w:rPr>
          <w:lang w:val="en-US" w:eastAsia="en-US"/>
        </w:rPr>
        <w:t xml:space="preserve"> SCS and Case C for SSB 30 kHz SCS </w:t>
      </w:r>
      <w:r>
        <w:rPr>
          <w:lang w:val="en-US" w:eastAsia="en-US"/>
        </w:rPr>
        <w:t xml:space="preserve">are adopted for </w:t>
      </w:r>
      <w:r w:rsidRPr="00F56EC9">
        <w:rPr>
          <w:lang w:val="en-US" w:eastAsia="en-US"/>
        </w:rPr>
        <w:t>NR-U</w:t>
      </w:r>
      <w:r>
        <w:rPr>
          <w:lang w:val="en-US" w:eastAsia="en-US"/>
        </w:rPr>
        <w:t xml:space="preserve">, there will be two OFDM symbols between the two SSBs in a slot. In order to provide the enough flexibility for the configuration of the CORESET#0 for the </w:t>
      </w:r>
      <w:r>
        <w:rPr>
          <w:rFonts w:cs="Times"/>
          <w:lang w:eastAsia="x-none"/>
        </w:rPr>
        <w:t xml:space="preserve">Type0 PDCCH, it is desirable to support </w:t>
      </w:r>
      <w:r w:rsidRPr="001243DE">
        <w:rPr>
          <w:rFonts w:cs="Times"/>
          <w:lang w:eastAsia="x-none"/>
        </w:rPr>
        <w:t xml:space="preserve">the </w:t>
      </w:r>
      <w:r w:rsidR="009C1846">
        <w:rPr>
          <w:rFonts w:cs="Times"/>
          <w:lang w:eastAsia="x-none"/>
        </w:rPr>
        <w:t xml:space="preserve">configuration of the CORESET#0 of 1 and 2 OFDM symbols. In this case, NR-U needs to support at least the starting position at </w:t>
      </w:r>
      <w:r w:rsidR="0064336B">
        <w:rPr>
          <w:rFonts w:cs="Times"/>
          <w:lang w:eastAsia="x-none"/>
        </w:rPr>
        <w:t>#</w:t>
      </w:r>
      <w:r w:rsidR="009C1846">
        <w:rPr>
          <w:rFonts w:cs="Times"/>
          <w:lang w:eastAsia="x-none"/>
        </w:rPr>
        <w:t xml:space="preserve">6 </w:t>
      </w:r>
      <w:r w:rsidR="0064336B">
        <w:rPr>
          <w:rFonts w:cs="Times"/>
          <w:lang w:eastAsia="x-none"/>
        </w:rPr>
        <w:t>OFDM symbol</w:t>
      </w:r>
      <w:r w:rsidR="009C1846">
        <w:rPr>
          <w:rFonts w:cs="Times"/>
          <w:lang w:eastAsia="x-none"/>
        </w:rPr>
        <w:t xml:space="preserve">, or at both </w:t>
      </w:r>
      <w:r w:rsidR="0064336B">
        <w:rPr>
          <w:rFonts w:cs="Times"/>
          <w:lang w:eastAsia="x-none"/>
        </w:rPr>
        <w:t>#6 and #7 OS</w:t>
      </w:r>
      <w:r w:rsidR="009C1846">
        <w:rPr>
          <w:rFonts w:cs="Times"/>
          <w:lang w:eastAsia="x-none"/>
        </w:rPr>
        <w:t>.</w:t>
      </w:r>
    </w:p>
    <w:p w:rsidR="009C1846" w:rsidRDefault="00CB0921" w:rsidP="00CB0921">
      <w:pPr>
        <w:pStyle w:val="afa"/>
        <w:jc w:val="left"/>
        <w:rPr>
          <w:i/>
          <w:lang w:val="en-US" w:eastAsia="en-US"/>
        </w:rPr>
      </w:pPr>
      <w:bookmarkStart w:id="13" w:name="_Toc1057277"/>
      <w:bookmarkStart w:id="14" w:name="_Toc1057692"/>
      <w:r>
        <w:t xml:space="preserve">Proposal </w:t>
      </w:r>
      <w:r>
        <w:fldChar w:fldCharType="begin"/>
      </w:r>
      <w:r>
        <w:instrText xml:space="preserve"> SEQ Proposal \* ARABIC </w:instrText>
      </w:r>
      <w:r>
        <w:fldChar w:fldCharType="separate"/>
      </w:r>
      <w:r>
        <w:t>5</w:t>
      </w:r>
      <w:r>
        <w:fldChar w:fldCharType="end"/>
      </w:r>
      <w:r w:rsidR="009C1846" w:rsidRPr="009C1846">
        <w:rPr>
          <w:i/>
          <w:lang w:val="en-US" w:eastAsia="en-US"/>
        </w:rPr>
        <w:t xml:space="preserve">: The starting position for monitoring of Type0 PDCCH of the 2nd SSB position in a slot should be at the </w:t>
      </w:r>
      <w:r w:rsidR="00843765">
        <w:rPr>
          <w:i/>
          <w:lang w:val="en-US" w:eastAsia="en-US"/>
        </w:rPr>
        <w:t>#6</w:t>
      </w:r>
      <w:r w:rsidR="009C1846" w:rsidRPr="009C1846">
        <w:rPr>
          <w:i/>
          <w:lang w:val="en-US" w:eastAsia="en-US"/>
        </w:rPr>
        <w:t xml:space="preserve"> OFDM symbol in a slot, or both the </w:t>
      </w:r>
      <w:r w:rsidR="00843765">
        <w:rPr>
          <w:i/>
          <w:lang w:val="en-US" w:eastAsia="en-US"/>
        </w:rPr>
        <w:t>#6</w:t>
      </w:r>
      <w:r w:rsidR="009C1846" w:rsidRPr="009C1846">
        <w:rPr>
          <w:i/>
          <w:lang w:val="en-US" w:eastAsia="en-US"/>
        </w:rPr>
        <w:t xml:space="preserve"> and </w:t>
      </w:r>
      <w:r w:rsidR="00843765">
        <w:rPr>
          <w:i/>
          <w:lang w:val="en-US" w:eastAsia="en-US"/>
        </w:rPr>
        <w:t xml:space="preserve">#7 </w:t>
      </w:r>
      <w:r w:rsidR="009C1846" w:rsidRPr="009C1846">
        <w:rPr>
          <w:i/>
          <w:lang w:val="en-US" w:eastAsia="en-US"/>
        </w:rPr>
        <w:t>OFDM symbols in order to support the duration of {1,2} OFDM symbols for the CORESET#0.</w:t>
      </w:r>
      <w:bookmarkEnd w:id="13"/>
      <w:bookmarkEnd w:id="14"/>
    </w:p>
    <w:p w:rsidR="007368BE" w:rsidRDefault="007368BE" w:rsidP="007368BE">
      <w:pPr>
        <w:pStyle w:val="10"/>
      </w:pPr>
      <w:r>
        <w:t>Conclusion</w:t>
      </w:r>
    </w:p>
    <w:p w:rsidR="00D00289" w:rsidRDefault="00D00289" w:rsidP="00D00289">
      <w:pPr>
        <w:autoSpaceDN w:val="0"/>
        <w:spacing w:before="120" w:after="0" w:line="280" w:lineRule="atLeast"/>
        <w:ind w:left="1"/>
        <w:contextualSpacing/>
        <w:jc w:val="both"/>
        <w:rPr>
          <w:rFonts w:eastAsia="宋体"/>
          <w:lang w:eastAsia="zh-CN"/>
        </w:rPr>
      </w:pPr>
      <w:r>
        <w:rPr>
          <w:rFonts w:eastAsiaTheme="minorEastAsia"/>
          <w:lang w:eastAsia="zh-CN"/>
        </w:rPr>
        <w:t xml:space="preserve">In </w:t>
      </w:r>
      <w:r w:rsidRPr="00B50EDD">
        <w:rPr>
          <w:rFonts w:eastAsiaTheme="minorEastAsia" w:hint="eastAsia"/>
          <w:lang w:eastAsia="zh-CN"/>
        </w:rPr>
        <w:t xml:space="preserve">this contribution, </w:t>
      </w:r>
      <w:r w:rsidRPr="00B50EDD">
        <w:rPr>
          <w:rFonts w:eastAsiaTheme="minorEastAsia"/>
          <w:lang w:eastAsia="zh-CN"/>
        </w:rPr>
        <w:t>we discuss</w:t>
      </w:r>
      <w:r>
        <w:rPr>
          <w:rFonts w:eastAsiaTheme="minorEastAsia"/>
          <w:lang w:eastAsia="zh-CN"/>
        </w:rPr>
        <w:t>ed some</w:t>
      </w:r>
      <w:r w:rsidRPr="00B50EDD">
        <w:rPr>
          <w:rFonts w:eastAsiaTheme="minorEastAsia"/>
          <w:lang w:eastAsia="zh-CN"/>
        </w:rPr>
        <w:t xml:space="preserve"> </w:t>
      </w:r>
      <w:r>
        <w:rPr>
          <w:rFonts w:eastAsiaTheme="minorEastAsia"/>
          <w:lang w:eastAsia="zh-CN"/>
        </w:rPr>
        <w:t xml:space="preserve">remaining issues on </w:t>
      </w:r>
      <w:r w:rsidRPr="00B50EDD">
        <w:t xml:space="preserve">NR-U </w:t>
      </w:r>
      <w:r w:rsidRPr="00B50EDD">
        <w:rPr>
          <w:rFonts w:eastAsia="宋体"/>
          <w:lang w:eastAsia="zh-CN"/>
        </w:rPr>
        <w:t>initial access signals/channels</w:t>
      </w:r>
      <w:r>
        <w:rPr>
          <w:rFonts w:eastAsia="宋体"/>
          <w:lang w:eastAsia="zh-CN"/>
        </w:rPr>
        <w:t>, and made the following proposal:</w:t>
      </w:r>
    </w:p>
    <w:p w:rsidR="00EB5321" w:rsidRDefault="00EB5321" w:rsidP="00D00289">
      <w:pPr>
        <w:autoSpaceDN w:val="0"/>
        <w:spacing w:before="120" w:after="0" w:line="280" w:lineRule="atLeast"/>
        <w:ind w:left="1"/>
        <w:contextualSpacing/>
        <w:jc w:val="both"/>
        <w:rPr>
          <w:rFonts w:eastAsia="宋体"/>
          <w:lang w:eastAsia="zh-CN"/>
        </w:rPr>
      </w:pPr>
    </w:p>
    <w:p w:rsidR="00EB5321" w:rsidRDefault="00EB5321">
      <w:pPr>
        <w:pStyle w:val="affa"/>
        <w:tabs>
          <w:tab w:val="right" w:leader="underscore" w:pos="9629"/>
        </w:tabs>
        <w:rPr>
          <w:rFonts w:eastAsiaTheme="minorEastAsia" w:cstheme="minorBidi"/>
          <w:i w:val="0"/>
          <w:iCs w:val="0"/>
          <w:noProof/>
          <w:sz w:val="22"/>
          <w:szCs w:val="22"/>
          <w:lang w:val="en-US" w:eastAsia="zh-CN"/>
        </w:rPr>
      </w:pPr>
      <w:r>
        <w:rPr>
          <w:rFonts w:eastAsia="宋体"/>
          <w:lang w:eastAsia="zh-CN"/>
        </w:rPr>
        <w:fldChar w:fldCharType="begin"/>
      </w:r>
      <w:r>
        <w:rPr>
          <w:rFonts w:eastAsia="宋体"/>
          <w:lang w:eastAsia="zh-CN"/>
        </w:rPr>
        <w:instrText xml:space="preserve"> TOC \n \c "Proposal" </w:instrText>
      </w:r>
      <w:r>
        <w:rPr>
          <w:rFonts w:eastAsia="宋体"/>
          <w:lang w:eastAsia="zh-CN"/>
        </w:rPr>
        <w:fldChar w:fldCharType="separate"/>
      </w:r>
      <w:r>
        <w:rPr>
          <w:noProof/>
        </w:rPr>
        <w:t>Proposal 1</w:t>
      </w:r>
      <w:r w:rsidRPr="0098711D">
        <w:rPr>
          <w:rFonts w:asciiTheme="minorEastAsia" w:eastAsiaTheme="minorEastAsia" w:hAnsiTheme="minorEastAsia" w:hint="eastAsia"/>
          <w:noProof/>
          <w:lang w:eastAsia="zh-CN"/>
        </w:rPr>
        <w:t>：</w:t>
      </w:r>
      <w:r w:rsidRPr="0098711D">
        <w:rPr>
          <w:noProof/>
          <w:lang w:val="en-US" w:eastAsia="en-US"/>
        </w:rPr>
        <w:t xml:space="preserve">For the transmission of the SS/PBCH blocks with 15kHz SCS, NR-U uses the same </w:t>
      </w:r>
      <w:r w:rsidRPr="0098711D">
        <w:rPr>
          <w:rFonts w:cs="Times"/>
          <w:noProof/>
          <w:lang w:eastAsia="x-none"/>
        </w:rPr>
        <w:t xml:space="preserve">pattern as Case A defined for the  </w:t>
      </w:r>
      <w:r w:rsidRPr="0098711D">
        <w:rPr>
          <w:noProof/>
          <w:lang w:val="en-US" w:eastAsia="en-US"/>
        </w:rPr>
        <w:t>SS/PBCH blocks with 15kHz SCS in NR;</w:t>
      </w:r>
    </w:p>
    <w:p w:rsidR="00EB5321" w:rsidRDefault="00EB5321">
      <w:pPr>
        <w:pStyle w:val="affa"/>
        <w:tabs>
          <w:tab w:val="right" w:leader="underscore" w:pos="9629"/>
        </w:tabs>
        <w:rPr>
          <w:rFonts w:eastAsiaTheme="minorEastAsia" w:cstheme="minorBidi"/>
          <w:i w:val="0"/>
          <w:iCs w:val="0"/>
          <w:noProof/>
          <w:sz w:val="22"/>
          <w:szCs w:val="22"/>
          <w:lang w:val="en-US" w:eastAsia="zh-CN"/>
        </w:rPr>
      </w:pPr>
      <w:r>
        <w:rPr>
          <w:noProof/>
        </w:rPr>
        <w:lastRenderedPageBreak/>
        <w:t>Proposal 2</w:t>
      </w:r>
      <w:r w:rsidRPr="0098711D">
        <w:rPr>
          <w:noProof/>
          <w:lang w:val="en-US" w:eastAsia="en-US"/>
        </w:rPr>
        <w:t xml:space="preserve">: For the transmission of the SS/PBCH blocks with 30kHz SCS, NR-U uses the same </w:t>
      </w:r>
      <w:r w:rsidRPr="0098711D">
        <w:rPr>
          <w:rFonts w:cs="Times"/>
          <w:noProof/>
          <w:lang w:eastAsia="x-none"/>
        </w:rPr>
        <w:t xml:space="preserve">pattern as Case C defined for the  </w:t>
      </w:r>
      <w:r w:rsidRPr="0098711D">
        <w:rPr>
          <w:noProof/>
          <w:lang w:val="en-US" w:eastAsia="en-US"/>
        </w:rPr>
        <w:t>SS/PBCH blocks with 30kHz SCS in NR;</w:t>
      </w:r>
    </w:p>
    <w:p w:rsidR="00EB5321" w:rsidRDefault="00EB5321">
      <w:pPr>
        <w:pStyle w:val="affa"/>
        <w:tabs>
          <w:tab w:val="right" w:leader="underscore" w:pos="9629"/>
        </w:tabs>
        <w:rPr>
          <w:rFonts w:eastAsiaTheme="minorEastAsia" w:cstheme="minorBidi"/>
          <w:i w:val="0"/>
          <w:iCs w:val="0"/>
          <w:noProof/>
          <w:sz w:val="22"/>
          <w:szCs w:val="22"/>
          <w:lang w:val="en-US" w:eastAsia="zh-CN"/>
        </w:rPr>
      </w:pPr>
      <w:r>
        <w:rPr>
          <w:noProof/>
        </w:rPr>
        <w:t>Proposal 3</w:t>
      </w:r>
      <w:r w:rsidRPr="0098711D">
        <w:rPr>
          <w:noProof/>
          <w:lang w:val="en-US" w:eastAsia="en-US"/>
        </w:rPr>
        <w:t>: NR-U may consider using the RM of the PDSCH scheduling around the SSB within the DRS transmission duration for meeting OCB requirement.</w:t>
      </w:r>
    </w:p>
    <w:p w:rsidR="00EB5321" w:rsidRDefault="00EB5321">
      <w:pPr>
        <w:pStyle w:val="affa"/>
        <w:tabs>
          <w:tab w:val="right" w:leader="underscore" w:pos="9629"/>
        </w:tabs>
        <w:rPr>
          <w:rFonts w:eastAsiaTheme="minorEastAsia" w:cstheme="minorBidi"/>
          <w:i w:val="0"/>
          <w:iCs w:val="0"/>
          <w:noProof/>
          <w:sz w:val="22"/>
          <w:szCs w:val="22"/>
          <w:lang w:val="en-US" w:eastAsia="zh-CN"/>
        </w:rPr>
      </w:pPr>
      <w:r>
        <w:rPr>
          <w:noProof/>
        </w:rPr>
        <w:t>Proposal 4</w:t>
      </w:r>
      <w:r w:rsidRPr="0098711D">
        <w:rPr>
          <w:noProof/>
          <w:lang w:val="en-US" w:eastAsia="en-US"/>
        </w:rPr>
        <w:t>: For simplicity, NR-U may consider supporting the configuration of one RMSI CORESET per CCA sub-band. The RMSI CORESET bandwidth is constraint within the CCA sub-band.</w:t>
      </w:r>
    </w:p>
    <w:p w:rsidR="00EB5321" w:rsidRDefault="00EB5321">
      <w:pPr>
        <w:pStyle w:val="affa"/>
        <w:tabs>
          <w:tab w:val="right" w:leader="underscore" w:pos="9629"/>
        </w:tabs>
        <w:rPr>
          <w:rFonts w:eastAsiaTheme="minorEastAsia" w:cstheme="minorBidi"/>
          <w:i w:val="0"/>
          <w:iCs w:val="0"/>
          <w:noProof/>
          <w:sz w:val="22"/>
          <w:szCs w:val="22"/>
          <w:lang w:val="en-US" w:eastAsia="zh-CN"/>
        </w:rPr>
      </w:pPr>
      <w:r>
        <w:rPr>
          <w:noProof/>
        </w:rPr>
        <w:t>Proposal 5</w:t>
      </w:r>
      <w:r w:rsidRPr="0098711D">
        <w:rPr>
          <w:noProof/>
          <w:lang w:val="en-US" w:eastAsia="en-US"/>
        </w:rPr>
        <w:t>: The starting position for monitoring of Type0 PDCCH of the 2nd SSB position in a slot should be at the #6 OFDM symbol in a slot, or both the #6 and #7 OFDM symbols in order to support the duration of {1,2} OFDM symbols for the CORESET#0.</w:t>
      </w:r>
    </w:p>
    <w:p w:rsidR="00EB5321" w:rsidRDefault="00EB5321" w:rsidP="00D00289">
      <w:pPr>
        <w:autoSpaceDN w:val="0"/>
        <w:spacing w:before="120" w:after="0" w:line="280" w:lineRule="atLeast"/>
        <w:ind w:left="1"/>
        <w:contextualSpacing/>
        <w:jc w:val="both"/>
        <w:rPr>
          <w:rFonts w:eastAsia="宋体"/>
          <w:lang w:eastAsia="zh-CN"/>
        </w:rPr>
      </w:pPr>
      <w:r>
        <w:rPr>
          <w:rFonts w:eastAsia="宋体"/>
          <w:lang w:eastAsia="zh-CN"/>
        </w:rPr>
        <w:fldChar w:fldCharType="end"/>
      </w:r>
    </w:p>
    <w:p w:rsidR="00BB7E0A" w:rsidRPr="00A4102F" w:rsidRDefault="00BB7E0A" w:rsidP="00BB7E0A">
      <w:pPr>
        <w:pStyle w:val="10"/>
      </w:pPr>
      <w:r>
        <w:t>Reference</w:t>
      </w:r>
      <w:r w:rsidR="003802B4">
        <w:t>s</w:t>
      </w:r>
    </w:p>
    <w:p w:rsidR="00BA1BA2" w:rsidRDefault="00BA1BA2" w:rsidP="00BA1BA2">
      <w:pPr>
        <w:pStyle w:val="afb"/>
        <w:numPr>
          <w:ilvl w:val="0"/>
          <w:numId w:val="34"/>
        </w:numPr>
        <w:jc w:val="both"/>
        <w:rPr>
          <w:rFonts w:eastAsia="宋体"/>
          <w:noProof/>
          <w:szCs w:val="20"/>
          <w:lang w:eastAsia="zh-CN"/>
        </w:rPr>
      </w:pPr>
      <w:bookmarkStart w:id="15" w:name="_Ref534826405"/>
      <w:bookmarkStart w:id="16" w:name="_Ref534793649"/>
      <w:bookmarkStart w:id="17" w:name="_Ref525207548"/>
      <w:bookmarkStart w:id="18" w:name="_Ref466049618"/>
      <w:bookmarkStart w:id="19" w:name="_Ref430885014"/>
      <w:r w:rsidRPr="0080128E">
        <w:rPr>
          <w:rFonts w:eastAsia="宋体"/>
          <w:noProof/>
          <w:szCs w:val="20"/>
          <w:lang w:eastAsia="zh-CN"/>
        </w:rPr>
        <w:t>Chairma</w:t>
      </w:r>
      <w:r>
        <w:rPr>
          <w:rFonts w:eastAsia="宋体"/>
          <w:noProof/>
          <w:szCs w:val="20"/>
          <w:lang w:eastAsia="zh-CN"/>
        </w:rPr>
        <w:t>n’s Note 3GPP TSG RAN WG1 #AH1901</w:t>
      </w:r>
    </w:p>
    <w:p w:rsidR="008069C9" w:rsidRDefault="008069C9" w:rsidP="008069C9">
      <w:pPr>
        <w:pStyle w:val="afb"/>
        <w:numPr>
          <w:ilvl w:val="0"/>
          <w:numId w:val="34"/>
        </w:numPr>
        <w:jc w:val="both"/>
        <w:rPr>
          <w:rFonts w:eastAsia="宋体"/>
          <w:noProof/>
          <w:szCs w:val="20"/>
          <w:lang w:eastAsia="zh-CN"/>
        </w:rPr>
      </w:pPr>
      <w:r w:rsidRPr="0080128E">
        <w:rPr>
          <w:rFonts w:eastAsia="宋体"/>
          <w:noProof/>
          <w:szCs w:val="20"/>
          <w:lang w:eastAsia="zh-CN"/>
        </w:rPr>
        <w:t>Chairma</w:t>
      </w:r>
      <w:r>
        <w:rPr>
          <w:rFonts w:eastAsia="宋体"/>
          <w:noProof/>
          <w:szCs w:val="20"/>
          <w:lang w:eastAsia="zh-CN"/>
        </w:rPr>
        <w:t>n’s Note 3GPP TSG RAN WG1 #95</w:t>
      </w:r>
      <w:bookmarkEnd w:id="15"/>
    </w:p>
    <w:p w:rsidR="00B36DA3" w:rsidRDefault="00B36DA3" w:rsidP="00B36DA3">
      <w:pPr>
        <w:pStyle w:val="afb"/>
        <w:numPr>
          <w:ilvl w:val="0"/>
          <w:numId w:val="34"/>
        </w:numPr>
        <w:jc w:val="both"/>
        <w:rPr>
          <w:rFonts w:eastAsia="宋体"/>
          <w:noProof/>
          <w:szCs w:val="20"/>
          <w:lang w:eastAsia="zh-CN"/>
        </w:rPr>
      </w:pPr>
      <w:r>
        <w:rPr>
          <w:rFonts w:eastAsia="宋体"/>
          <w:noProof/>
          <w:szCs w:val="20"/>
          <w:lang w:eastAsia="zh-CN"/>
        </w:rPr>
        <w:t>3GPP TR 38.889, “</w:t>
      </w:r>
      <w:r w:rsidRPr="00FC2ADD">
        <w:rPr>
          <w:rFonts w:eastAsia="宋体"/>
          <w:noProof/>
          <w:szCs w:val="20"/>
          <w:lang w:eastAsia="zh-CN"/>
        </w:rPr>
        <w:t>Study on NR-based access to unlicensed spectrum</w:t>
      </w:r>
      <w:r>
        <w:rPr>
          <w:rFonts w:eastAsia="宋体"/>
          <w:noProof/>
          <w:szCs w:val="20"/>
          <w:lang w:eastAsia="zh-CN"/>
        </w:rPr>
        <w:t>”.</w:t>
      </w:r>
      <w:bookmarkEnd w:id="16"/>
    </w:p>
    <w:p w:rsidR="0056593E" w:rsidRDefault="00354E69" w:rsidP="0056593E">
      <w:pPr>
        <w:pStyle w:val="afb"/>
        <w:numPr>
          <w:ilvl w:val="0"/>
          <w:numId w:val="34"/>
        </w:numPr>
        <w:jc w:val="both"/>
        <w:rPr>
          <w:rFonts w:eastAsia="宋体"/>
          <w:noProof/>
          <w:szCs w:val="20"/>
          <w:lang w:eastAsia="zh-CN"/>
        </w:rPr>
      </w:pPr>
      <w:bookmarkStart w:id="20" w:name="_Ref977737"/>
      <w:r w:rsidRPr="00374A8E">
        <w:rPr>
          <w:rFonts w:eastAsia="宋体"/>
          <w:noProof/>
          <w:szCs w:val="20"/>
          <w:lang w:eastAsia="zh-CN"/>
        </w:rPr>
        <w:t>R1-1901427</w:t>
      </w:r>
      <w:r w:rsidR="0056593E">
        <w:rPr>
          <w:rFonts w:eastAsia="宋体"/>
          <w:noProof/>
          <w:szCs w:val="20"/>
          <w:lang w:eastAsia="zh-CN"/>
        </w:rPr>
        <w:t>, “</w:t>
      </w:r>
      <w:r w:rsidR="0056593E" w:rsidRPr="00333F9C">
        <w:rPr>
          <w:rFonts w:eastAsia="宋体"/>
          <w:noProof/>
          <w:szCs w:val="20"/>
          <w:lang w:eastAsia="zh-CN"/>
        </w:rPr>
        <w:t>Feature lead summery on initial access signals and channels for NR-U</w:t>
      </w:r>
      <w:r w:rsidR="0056593E">
        <w:rPr>
          <w:rFonts w:eastAsia="宋体"/>
          <w:noProof/>
          <w:szCs w:val="20"/>
          <w:lang w:eastAsia="zh-CN"/>
        </w:rPr>
        <w:t xml:space="preserve">”, </w:t>
      </w:r>
      <w:r w:rsidR="0056593E" w:rsidRPr="00333F9C">
        <w:rPr>
          <w:rFonts w:eastAsia="宋体"/>
          <w:noProof/>
          <w:szCs w:val="20"/>
          <w:lang w:eastAsia="zh-CN"/>
        </w:rPr>
        <w:t>Qualcomm Incorporated</w:t>
      </w:r>
      <w:bookmarkEnd w:id="20"/>
      <w:r w:rsidR="0056593E" w:rsidRPr="00333F9C">
        <w:rPr>
          <w:rFonts w:eastAsia="宋体"/>
          <w:noProof/>
          <w:szCs w:val="20"/>
          <w:lang w:eastAsia="zh-CN"/>
        </w:rPr>
        <w:tab/>
      </w:r>
    </w:p>
    <w:p w:rsidR="00F12569" w:rsidRDefault="00354E69" w:rsidP="00F12569">
      <w:pPr>
        <w:pStyle w:val="afb"/>
        <w:numPr>
          <w:ilvl w:val="0"/>
          <w:numId w:val="34"/>
        </w:numPr>
        <w:jc w:val="both"/>
        <w:rPr>
          <w:rFonts w:eastAsia="宋体"/>
          <w:noProof/>
          <w:szCs w:val="20"/>
          <w:lang w:eastAsia="zh-CN"/>
        </w:rPr>
      </w:pPr>
      <w:r w:rsidRPr="00374A8E">
        <w:rPr>
          <w:rFonts w:eastAsia="宋体"/>
          <w:noProof/>
          <w:szCs w:val="20"/>
          <w:lang w:eastAsia="zh-CN"/>
        </w:rPr>
        <w:t>R1-1900822</w:t>
      </w:r>
      <w:r w:rsidR="00F12569">
        <w:rPr>
          <w:rFonts w:eastAsia="宋体"/>
          <w:noProof/>
          <w:szCs w:val="20"/>
          <w:lang w:eastAsia="zh-CN"/>
        </w:rPr>
        <w:t>, “</w:t>
      </w:r>
      <w:r w:rsidR="00F12569" w:rsidRPr="00F12569">
        <w:rPr>
          <w:rFonts w:eastAsia="宋体"/>
          <w:noProof/>
          <w:szCs w:val="20"/>
          <w:lang w:eastAsia="zh-CN"/>
        </w:rPr>
        <w:t>Discussion of NR-U initial access signals/channels</w:t>
      </w:r>
      <w:r w:rsidR="00F12569">
        <w:rPr>
          <w:rFonts w:eastAsia="宋体"/>
          <w:noProof/>
          <w:szCs w:val="20"/>
          <w:lang w:eastAsia="zh-CN"/>
        </w:rPr>
        <w:t>” CATT</w:t>
      </w:r>
    </w:p>
    <w:bookmarkEnd w:id="17"/>
    <w:bookmarkEnd w:id="18"/>
    <w:bookmarkEnd w:id="19"/>
    <w:p w:rsidR="00EC7F6C" w:rsidRPr="00FA0184" w:rsidRDefault="00EC7F6C">
      <w:pPr>
        <w:tabs>
          <w:tab w:val="left" w:pos="0"/>
          <w:tab w:val="left" w:pos="540"/>
        </w:tabs>
        <w:spacing w:after="0"/>
        <w:jc w:val="both"/>
        <w:rPr>
          <w:lang w:val="en-US"/>
        </w:rPr>
      </w:pPr>
    </w:p>
    <w:p w:rsidR="00B000A2" w:rsidRPr="00FA0184" w:rsidRDefault="00B000A2">
      <w:pPr>
        <w:tabs>
          <w:tab w:val="left" w:pos="0"/>
          <w:tab w:val="left" w:pos="540"/>
        </w:tabs>
        <w:spacing w:after="0"/>
        <w:jc w:val="both"/>
        <w:rPr>
          <w:lang w:val="en-US"/>
        </w:rPr>
      </w:pPr>
    </w:p>
    <w:p w:rsidR="00374A8E" w:rsidRPr="00FA0184" w:rsidRDefault="00374A8E">
      <w:pPr>
        <w:tabs>
          <w:tab w:val="left" w:pos="0"/>
          <w:tab w:val="left" w:pos="540"/>
        </w:tabs>
        <w:spacing w:after="0"/>
        <w:jc w:val="both"/>
        <w:rPr>
          <w:lang w:val="en-US"/>
        </w:rPr>
      </w:pPr>
    </w:p>
    <w:sectPr w:rsidR="00374A8E" w:rsidRPr="00FA0184"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8D1" w:rsidRDefault="004C38D1" w:rsidP="00086ACB">
      <w:r>
        <w:separator/>
      </w:r>
    </w:p>
  </w:endnote>
  <w:endnote w:type="continuationSeparator" w:id="0">
    <w:p w:rsidR="004C38D1" w:rsidRDefault="004C38D1"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aa"/>
        </w:pPr>
        <w:r>
          <w:rPr>
            <w:noProof w:val="0"/>
          </w:rPr>
          <w:fldChar w:fldCharType="begin"/>
        </w:r>
        <w:r>
          <w:instrText xml:space="preserve"> PAGE   \* MERGEFORMAT </w:instrText>
        </w:r>
        <w:r>
          <w:rPr>
            <w:noProof w:val="0"/>
          </w:rPr>
          <w:fldChar w:fldCharType="separate"/>
        </w:r>
        <w:r w:rsidR="00CA7609">
          <w:t>4</w:t>
        </w:r>
        <w:r>
          <w:fldChar w:fldCharType="end"/>
        </w:r>
      </w:p>
    </w:sdtContent>
  </w:sdt>
  <w:p w:rsidR="00D86127" w:rsidRDefault="00D8612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8D1" w:rsidRDefault="004C38D1" w:rsidP="00086ACB">
      <w:r>
        <w:separator/>
      </w:r>
    </w:p>
  </w:footnote>
  <w:footnote w:type="continuationSeparator" w:id="0">
    <w:p w:rsidR="004C38D1" w:rsidRDefault="004C38D1"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5">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1">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47475C6"/>
    <w:multiLevelType w:val="hybridMultilevel"/>
    <w:tmpl w:val="FCC85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A1C7F9B"/>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29">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1">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6">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2"/>
  </w:num>
  <w:num w:numId="4">
    <w:abstractNumId w:val="39"/>
  </w:num>
  <w:num w:numId="5">
    <w:abstractNumId w:val="13"/>
  </w:num>
  <w:num w:numId="6">
    <w:abstractNumId w:val="38"/>
  </w:num>
  <w:num w:numId="7">
    <w:abstractNumId w:val="5"/>
  </w:num>
  <w:num w:numId="8">
    <w:abstractNumId w:val="0"/>
  </w:num>
  <w:num w:numId="9">
    <w:abstractNumId w:val="19"/>
  </w:num>
  <w:num w:numId="10">
    <w:abstractNumId w:val="9"/>
  </w:num>
  <w:num w:numId="11">
    <w:abstractNumId w:val="26"/>
  </w:num>
  <w:num w:numId="12">
    <w:abstractNumId w:val="15"/>
  </w:num>
  <w:num w:numId="13">
    <w:abstractNumId w:val="7"/>
  </w:num>
  <w:num w:numId="14">
    <w:abstractNumId w:val="36"/>
  </w:num>
  <w:num w:numId="15">
    <w:abstractNumId w:val="18"/>
  </w:num>
  <w:num w:numId="16">
    <w:abstractNumId w:val="14"/>
  </w:num>
  <w:num w:numId="17">
    <w:abstractNumId w:val="20"/>
  </w:num>
  <w:num w:numId="18">
    <w:abstractNumId w:val="28"/>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6"/>
  </w:num>
  <w:num w:numId="22">
    <w:abstractNumId w:val="40"/>
  </w:num>
  <w:num w:numId="23">
    <w:abstractNumId w:val="12"/>
  </w:num>
  <w:num w:numId="24">
    <w:abstractNumId w:val="32"/>
  </w:num>
  <w:num w:numId="25">
    <w:abstractNumId w:val="22"/>
  </w:num>
  <w:num w:numId="26">
    <w:abstractNumId w:val="10"/>
  </w:num>
  <w:num w:numId="27">
    <w:abstractNumId w:val="3"/>
  </w:num>
  <w:num w:numId="28">
    <w:abstractNumId w:val="35"/>
  </w:num>
  <w:num w:numId="29">
    <w:abstractNumId w:val="1"/>
  </w:num>
  <w:num w:numId="30">
    <w:abstractNumId w:val="21"/>
  </w:num>
  <w:num w:numId="31">
    <w:abstractNumId w:val="11"/>
  </w:num>
  <w:num w:numId="32">
    <w:abstractNumId w:val="25"/>
  </w:num>
  <w:num w:numId="33">
    <w:abstractNumId w:val="24"/>
  </w:num>
  <w:num w:numId="34">
    <w:abstractNumId w:val="29"/>
  </w:num>
  <w:num w:numId="35">
    <w:abstractNumId w:val="33"/>
  </w:num>
  <w:num w:numId="36">
    <w:abstractNumId w:val="34"/>
  </w:num>
  <w:num w:numId="37">
    <w:abstractNumId w:val="8"/>
  </w:num>
  <w:num w:numId="38">
    <w:abstractNumId w:val="31"/>
  </w:num>
  <w:num w:numId="39">
    <w:abstractNumId w:val="37"/>
  </w:num>
  <w:num w:numId="4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s6wFAAdc/IctAAAA"/>
  </w:docVars>
  <w:rsids>
    <w:rsidRoot w:val="00174C61"/>
    <w:rsid w:val="000000B8"/>
    <w:rsid w:val="00000710"/>
    <w:rsid w:val="0000098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793"/>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871"/>
    <w:rsid w:val="00037B2F"/>
    <w:rsid w:val="00037D1D"/>
    <w:rsid w:val="000403E1"/>
    <w:rsid w:val="000406F6"/>
    <w:rsid w:val="00040D54"/>
    <w:rsid w:val="0004138B"/>
    <w:rsid w:val="000417E9"/>
    <w:rsid w:val="00041B80"/>
    <w:rsid w:val="00041C22"/>
    <w:rsid w:val="0004218F"/>
    <w:rsid w:val="0004219A"/>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19F"/>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0F6C"/>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0C1"/>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9DC"/>
    <w:rsid w:val="000B54AF"/>
    <w:rsid w:val="000B5A78"/>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3C2"/>
    <w:rsid w:val="000F58C8"/>
    <w:rsid w:val="000F6A2E"/>
    <w:rsid w:val="000F6E64"/>
    <w:rsid w:val="000F6FC3"/>
    <w:rsid w:val="000F6FE6"/>
    <w:rsid w:val="000F79D1"/>
    <w:rsid w:val="0010053C"/>
    <w:rsid w:val="0010085A"/>
    <w:rsid w:val="00100F34"/>
    <w:rsid w:val="00100F3B"/>
    <w:rsid w:val="00101304"/>
    <w:rsid w:val="00101A0A"/>
    <w:rsid w:val="00101B73"/>
    <w:rsid w:val="0010245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9C0"/>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A3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0DC"/>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909"/>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3F6A"/>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175"/>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237"/>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6BED"/>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FF4"/>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9BA"/>
    <w:rsid w:val="00224AD8"/>
    <w:rsid w:val="00224B7A"/>
    <w:rsid w:val="0022570E"/>
    <w:rsid w:val="00225803"/>
    <w:rsid w:val="00225BDF"/>
    <w:rsid w:val="00225CAE"/>
    <w:rsid w:val="00226363"/>
    <w:rsid w:val="00226F0A"/>
    <w:rsid w:val="0022725F"/>
    <w:rsid w:val="00227558"/>
    <w:rsid w:val="00227C0E"/>
    <w:rsid w:val="00227CB5"/>
    <w:rsid w:val="002306C1"/>
    <w:rsid w:val="00230943"/>
    <w:rsid w:val="00230BB9"/>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9AC"/>
    <w:rsid w:val="00242EEB"/>
    <w:rsid w:val="002433AF"/>
    <w:rsid w:val="002435AF"/>
    <w:rsid w:val="00244455"/>
    <w:rsid w:val="00244A47"/>
    <w:rsid w:val="00244CFF"/>
    <w:rsid w:val="002461D1"/>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B6"/>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1F1"/>
    <w:rsid w:val="002E5210"/>
    <w:rsid w:val="002E569E"/>
    <w:rsid w:val="002E5BEF"/>
    <w:rsid w:val="002E6216"/>
    <w:rsid w:val="002E623B"/>
    <w:rsid w:val="002E6C53"/>
    <w:rsid w:val="002E6DD3"/>
    <w:rsid w:val="002F0118"/>
    <w:rsid w:val="002F02F6"/>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9C"/>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97B"/>
    <w:rsid w:val="00354C43"/>
    <w:rsid w:val="00354E69"/>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7A8"/>
    <w:rsid w:val="00373D3E"/>
    <w:rsid w:val="00373DB8"/>
    <w:rsid w:val="00374A8E"/>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2B4"/>
    <w:rsid w:val="00380740"/>
    <w:rsid w:val="0038253A"/>
    <w:rsid w:val="00382DEA"/>
    <w:rsid w:val="00382F2A"/>
    <w:rsid w:val="00383A91"/>
    <w:rsid w:val="00383AFA"/>
    <w:rsid w:val="0038455D"/>
    <w:rsid w:val="003845B6"/>
    <w:rsid w:val="00384AFC"/>
    <w:rsid w:val="003857C4"/>
    <w:rsid w:val="003864C0"/>
    <w:rsid w:val="00386D9C"/>
    <w:rsid w:val="00390739"/>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361"/>
    <w:rsid w:val="003B29D3"/>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0B4F"/>
    <w:rsid w:val="00401190"/>
    <w:rsid w:val="00401285"/>
    <w:rsid w:val="004014E0"/>
    <w:rsid w:val="00401651"/>
    <w:rsid w:val="004017A6"/>
    <w:rsid w:val="00401C64"/>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27F5C"/>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60E"/>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746"/>
    <w:rsid w:val="00496CA1"/>
    <w:rsid w:val="0049716D"/>
    <w:rsid w:val="00497C66"/>
    <w:rsid w:val="00497F17"/>
    <w:rsid w:val="004A02AC"/>
    <w:rsid w:val="004A0F42"/>
    <w:rsid w:val="004A12FB"/>
    <w:rsid w:val="004A1E59"/>
    <w:rsid w:val="004A1FFB"/>
    <w:rsid w:val="004A24D4"/>
    <w:rsid w:val="004A2A8A"/>
    <w:rsid w:val="004A2F2C"/>
    <w:rsid w:val="004A5D78"/>
    <w:rsid w:val="004A6257"/>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8D1"/>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4F0"/>
    <w:rsid w:val="004E352E"/>
    <w:rsid w:val="004E3CFE"/>
    <w:rsid w:val="004E3DC9"/>
    <w:rsid w:val="004E3F16"/>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8F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673"/>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00"/>
    <w:rsid w:val="00546D9C"/>
    <w:rsid w:val="00547085"/>
    <w:rsid w:val="0054712F"/>
    <w:rsid w:val="00547BE3"/>
    <w:rsid w:val="00547F5C"/>
    <w:rsid w:val="00550607"/>
    <w:rsid w:val="0055078E"/>
    <w:rsid w:val="005508D8"/>
    <w:rsid w:val="00550B67"/>
    <w:rsid w:val="00550B7B"/>
    <w:rsid w:val="00552214"/>
    <w:rsid w:val="00552B18"/>
    <w:rsid w:val="00552CBB"/>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1F3A"/>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93E"/>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259"/>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5A69"/>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BBC"/>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78F"/>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068"/>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36B"/>
    <w:rsid w:val="00643508"/>
    <w:rsid w:val="0064362B"/>
    <w:rsid w:val="00643BE0"/>
    <w:rsid w:val="006443ED"/>
    <w:rsid w:val="00644754"/>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7E3"/>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7F"/>
    <w:rsid w:val="00675FF9"/>
    <w:rsid w:val="00676179"/>
    <w:rsid w:val="0067687A"/>
    <w:rsid w:val="00676914"/>
    <w:rsid w:val="00676F5D"/>
    <w:rsid w:val="00680088"/>
    <w:rsid w:val="006800A5"/>
    <w:rsid w:val="00680434"/>
    <w:rsid w:val="00680D01"/>
    <w:rsid w:val="00681CBF"/>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E89"/>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E9E"/>
    <w:rsid w:val="006A00CA"/>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09D3"/>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28B"/>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172B"/>
    <w:rsid w:val="00702397"/>
    <w:rsid w:val="00703450"/>
    <w:rsid w:val="007037A6"/>
    <w:rsid w:val="00703867"/>
    <w:rsid w:val="00703CCC"/>
    <w:rsid w:val="00703D61"/>
    <w:rsid w:val="00703E58"/>
    <w:rsid w:val="0070453B"/>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5EF"/>
    <w:rsid w:val="00716EB0"/>
    <w:rsid w:val="00717D1C"/>
    <w:rsid w:val="00717D35"/>
    <w:rsid w:val="00720009"/>
    <w:rsid w:val="007207F5"/>
    <w:rsid w:val="00720812"/>
    <w:rsid w:val="00721023"/>
    <w:rsid w:val="0072107C"/>
    <w:rsid w:val="00721E15"/>
    <w:rsid w:val="00722942"/>
    <w:rsid w:val="00722C00"/>
    <w:rsid w:val="007234DA"/>
    <w:rsid w:val="00723EC9"/>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6A7"/>
    <w:rsid w:val="00733BBF"/>
    <w:rsid w:val="007342B3"/>
    <w:rsid w:val="007346B4"/>
    <w:rsid w:val="00734769"/>
    <w:rsid w:val="0073506C"/>
    <w:rsid w:val="00735264"/>
    <w:rsid w:val="0073592A"/>
    <w:rsid w:val="00735D6A"/>
    <w:rsid w:val="007368BE"/>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979"/>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668"/>
    <w:rsid w:val="00766A2B"/>
    <w:rsid w:val="007671E0"/>
    <w:rsid w:val="007678C0"/>
    <w:rsid w:val="00770070"/>
    <w:rsid w:val="0077050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718"/>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6F03"/>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0D07"/>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1E19"/>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69C9"/>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1D0"/>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639"/>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3765"/>
    <w:rsid w:val="008444D2"/>
    <w:rsid w:val="008447A1"/>
    <w:rsid w:val="00844903"/>
    <w:rsid w:val="00845249"/>
    <w:rsid w:val="00845EA2"/>
    <w:rsid w:val="008460BA"/>
    <w:rsid w:val="0084695A"/>
    <w:rsid w:val="00846A14"/>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A8E"/>
    <w:rsid w:val="00894B59"/>
    <w:rsid w:val="008955DA"/>
    <w:rsid w:val="00895BF4"/>
    <w:rsid w:val="00895CC3"/>
    <w:rsid w:val="00896E63"/>
    <w:rsid w:val="008971C3"/>
    <w:rsid w:val="008A064D"/>
    <w:rsid w:val="008A07D0"/>
    <w:rsid w:val="008A0974"/>
    <w:rsid w:val="008A0B72"/>
    <w:rsid w:val="008A0E12"/>
    <w:rsid w:val="008A1516"/>
    <w:rsid w:val="008A1A41"/>
    <w:rsid w:val="008A1C2D"/>
    <w:rsid w:val="008A1DD5"/>
    <w:rsid w:val="008A277A"/>
    <w:rsid w:val="008A27F6"/>
    <w:rsid w:val="008A2918"/>
    <w:rsid w:val="008A3329"/>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14CE"/>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C0C"/>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5D18"/>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0D26"/>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4E8"/>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079"/>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756"/>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846"/>
    <w:rsid w:val="009C1A63"/>
    <w:rsid w:val="009C1DE9"/>
    <w:rsid w:val="009C1E0C"/>
    <w:rsid w:val="009C2C2A"/>
    <w:rsid w:val="009C3178"/>
    <w:rsid w:val="009C38D0"/>
    <w:rsid w:val="009C41D8"/>
    <w:rsid w:val="009C45A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288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82C"/>
    <w:rsid w:val="009E6BD2"/>
    <w:rsid w:val="009E70CB"/>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079E5"/>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DD5"/>
    <w:rsid w:val="00A42EFE"/>
    <w:rsid w:val="00A43293"/>
    <w:rsid w:val="00A43AD9"/>
    <w:rsid w:val="00A444ED"/>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068B"/>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477"/>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2BE"/>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0A2"/>
    <w:rsid w:val="00B001AE"/>
    <w:rsid w:val="00B0034A"/>
    <w:rsid w:val="00B003EE"/>
    <w:rsid w:val="00B00F75"/>
    <w:rsid w:val="00B01039"/>
    <w:rsid w:val="00B01393"/>
    <w:rsid w:val="00B01928"/>
    <w:rsid w:val="00B01BFC"/>
    <w:rsid w:val="00B02A87"/>
    <w:rsid w:val="00B02DFB"/>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7F8"/>
    <w:rsid w:val="00B14877"/>
    <w:rsid w:val="00B14D83"/>
    <w:rsid w:val="00B14FC8"/>
    <w:rsid w:val="00B15D8F"/>
    <w:rsid w:val="00B15EA4"/>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6E2"/>
    <w:rsid w:val="00B3476C"/>
    <w:rsid w:val="00B348CC"/>
    <w:rsid w:val="00B34D53"/>
    <w:rsid w:val="00B3501E"/>
    <w:rsid w:val="00B35586"/>
    <w:rsid w:val="00B35887"/>
    <w:rsid w:val="00B35B32"/>
    <w:rsid w:val="00B35FE1"/>
    <w:rsid w:val="00B3624F"/>
    <w:rsid w:val="00B362E8"/>
    <w:rsid w:val="00B36564"/>
    <w:rsid w:val="00B36878"/>
    <w:rsid w:val="00B36912"/>
    <w:rsid w:val="00B36C76"/>
    <w:rsid w:val="00B36D52"/>
    <w:rsid w:val="00B36DA3"/>
    <w:rsid w:val="00B36EE8"/>
    <w:rsid w:val="00B3732C"/>
    <w:rsid w:val="00B3775B"/>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0EDD"/>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0DC9"/>
    <w:rsid w:val="00B712AE"/>
    <w:rsid w:val="00B71401"/>
    <w:rsid w:val="00B71A44"/>
    <w:rsid w:val="00B720D2"/>
    <w:rsid w:val="00B72235"/>
    <w:rsid w:val="00B73742"/>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BA2"/>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DCB"/>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0B3C"/>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9E5"/>
    <w:rsid w:val="00C55A7D"/>
    <w:rsid w:val="00C55BA1"/>
    <w:rsid w:val="00C55D17"/>
    <w:rsid w:val="00C56325"/>
    <w:rsid w:val="00C568DA"/>
    <w:rsid w:val="00C56CAE"/>
    <w:rsid w:val="00C5713E"/>
    <w:rsid w:val="00C57278"/>
    <w:rsid w:val="00C5779A"/>
    <w:rsid w:val="00C57BB4"/>
    <w:rsid w:val="00C57DFA"/>
    <w:rsid w:val="00C60124"/>
    <w:rsid w:val="00C60852"/>
    <w:rsid w:val="00C60B2F"/>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7EB"/>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09"/>
    <w:rsid w:val="00CA76FC"/>
    <w:rsid w:val="00CA7EB7"/>
    <w:rsid w:val="00CB06EA"/>
    <w:rsid w:val="00CB0921"/>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289"/>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FF1"/>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C0B"/>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2DB"/>
    <w:rsid w:val="00D447E5"/>
    <w:rsid w:val="00D452DE"/>
    <w:rsid w:val="00D4533D"/>
    <w:rsid w:val="00D479D4"/>
    <w:rsid w:val="00D50128"/>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9E4"/>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BDA"/>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8B1"/>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C78"/>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6961"/>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2E1"/>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9D"/>
    <w:rsid w:val="00E32B1A"/>
    <w:rsid w:val="00E33688"/>
    <w:rsid w:val="00E33C57"/>
    <w:rsid w:val="00E33DF6"/>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36D"/>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5B6B"/>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1172"/>
    <w:rsid w:val="00EB20C7"/>
    <w:rsid w:val="00EB2163"/>
    <w:rsid w:val="00EB236A"/>
    <w:rsid w:val="00EB25C2"/>
    <w:rsid w:val="00EB2FCA"/>
    <w:rsid w:val="00EB3C08"/>
    <w:rsid w:val="00EB3E76"/>
    <w:rsid w:val="00EB3ED6"/>
    <w:rsid w:val="00EB4120"/>
    <w:rsid w:val="00EB4141"/>
    <w:rsid w:val="00EB480C"/>
    <w:rsid w:val="00EB4A7E"/>
    <w:rsid w:val="00EB4AA2"/>
    <w:rsid w:val="00EB4F72"/>
    <w:rsid w:val="00EB5321"/>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3C2"/>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569"/>
    <w:rsid w:val="00F1277E"/>
    <w:rsid w:val="00F12AB6"/>
    <w:rsid w:val="00F12E48"/>
    <w:rsid w:val="00F12F11"/>
    <w:rsid w:val="00F13414"/>
    <w:rsid w:val="00F135C2"/>
    <w:rsid w:val="00F136A3"/>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54"/>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74E"/>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6EC9"/>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DC4"/>
    <w:rsid w:val="00F92074"/>
    <w:rsid w:val="00F932A4"/>
    <w:rsid w:val="00F93644"/>
    <w:rsid w:val="00F936F7"/>
    <w:rsid w:val="00F9372E"/>
    <w:rsid w:val="00F93EA3"/>
    <w:rsid w:val="00F93F70"/>
    <w:rsid w:val="00F93F88"/>
    <w:rsid w:val="00F94949"/>
    <w:rsid w:val="00F954DC"/>
    <w:rsid w:val="00F95D8C"/>
    <w:rsid w:val="00F95EED"/>
    <w:rsid w:val="00F965AC"/>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68F3"/>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8A1"/>
    <w:rsid w:val="00FC3C4A"/>
    <w:rsid w:val="00FC3DCF"/>
    <w:rsid w:val="00FC4213"/>
    <w:rsid w:val="00FC47B2"/>
    <w:rsid w:val="00FC7332"/>
    <w:rsid w:val="00FD128E"/>
    <w:rsid w:val="00FD1632"/>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0128"/>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标题 81"/>
    <w:basedOn w:val="10"/>
    <w:next w:val="a0"/>
    <w:link w:val="8Char"/>
    <w:qFormat/>
    <w:rsid w:val="002D51E6"/>
    <w:pPr>
      <w:numPr>
        <w:ilvl w:val="7"/>
      </w:numPr>
      <w:outlineLvl w:val="7"/>
    </w:pPr>
  </w:style>
  <w:style w:type="paragraph" w:styleId="9">
    <w:name w:val="heading 9"/>
    <w:aliases w:val="Figure Heading,FH,标题 91"/>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uiPriority w:val="20"/>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rsid w:val="00FF4E2B"/>
    <w:rPr>
      <w:rFonts w:ascii="Arial" w:hAnsi="Arial"/>
      <w:lang w:val="en-GB" w:eastAsia="ja-JP"/>
    </w:rPr>
  </w:style>
  <w:style w:type="character" w:customStyle="1" w:styleId="7Char">
    <w:name w:val="标题 7 Char"/>
    <w:link w:val="7"/>
    <w:rsid w:val="00FF4E2B"/>
    <w:rPr>
      <w:rFonts w:ascii="Arial" w:hAnsi="Arial"/>
      <w:lang w:val="en-GB" w:eastAsia="ja-JP"/>
    </w:rPr>
  </w:style>
  <w:style w:type="character" w:customStyle="1" w:styleId="8Char">
    <w:name w:val="标题 8 Char"/>
    <w:aliases w:val="Table Heading Char,标题 81 Char"/>
    <w:link w:val="8"/>
    <w:rsid w:val="00FF4E2B"/>
    <w:rPr>
      <w:rFonts w:ascii="Arial" w:hAnsi="Arial"/>
      <w:sz w:val="36"/>
      <w:lang w:val="en-GB" w:eastAsia="en-US"/>
    </w:rPr>
  </w:style>
  <w:style w:type="character" w:customStyle="1" w:styleId="9Char">
    <w:name w:val="标题 9 Char"/>
    <w:aliases w:val="Figure Heading Char,FH Char,标题 91 Char"/>
    <w:link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pPr>
    <w:rPr>
      <w:rFonts w:asciiTheme="minorHAnsi" w:hAnsiTheme="minorHAnsi"/>
      <w:i/>
      <w:i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0128"/>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qFormat/>
    <w:rsid w:val="002D51E6"/>
    <w:pPr>
      <w:numPr>
        <w:ilvl w:val="5"/>
      </w:numPr>
      <w:outlineLvl w:val="5"/>
    </w:pPr>
  </w:style>
  <w:style w:type="paragraph" w:styleId="7">
    <w:name w:val="heading 7"/>
    <w:basedOn w:val="H6"/>
    <w:next w:val="a0"/>
    <w:link w:val="7Char"/>
    <w:qFormat/>
    <w:rsid w:val="002D51E6"/>
    <w:pPr>
      <w:numPr>
        <w:ilvl w:val="6"/>
      </w:numPr>
      <w:outlineLvl w:val="6"/>
    </w:pPr>
  </w:style>
  <w:style w:type="paragraph" w:styleId="8">
    <w:name w:val="heading 8"/>
    <w:aliases w:val="Table Heading,标题 81"/>
    <w:basedOn w:val="10"/>
    <w:next w:val="a0"/>
    <w:link w:val="8Char"/>
    <w:qFormat/>
    <w:rsid w:val="002D51E6"/>
    <w:pPr>
      <w:numPr>
        <w:ilvl w:val="7"/>
      </w:numPr>
      <w:outlineLvl w:val="7"/>
    </w:pPr>
  </w:style>
  <w:style w:type="paragraph" w:styleId="9">
    <w:name w:val="heading 9"/>
    <w:aliases w:val="Figure Heading,FH,标题 91"/>
    <w:basedOn w:val="8"/>
    <w:next w:val="a0"/>
    <w:link w:val="9Char"/>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uiPriority w:val="20"/>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rsid w:val="00FF4E2B"/>
    <w:rPr>
      <w:rFonts w:ascii="Arial" w:hAnsi="Arial"/>
      <w:lang w:val="en-GB" w:eastAsia="ja-JP"/>
    </w:rPr>
  </w:style>
  <w:style w:type="character" w:customStyle="1" w:styleId="7Char">
    <w:name w:val="标题 7 Char"/>
    <w:link w:val="7"/>
    <w:rsid w:val="00FF4E2B"/>
    <w:rPr>
      <w:rFonts w:ascii="Arial" w:hAnsi="Arial"/>
      <w:lang w:val="en-GB" w:eastAsia="ja-JP"/>
    </w:rPr>
  </w:style>
  <w:style w:type="character" w:customStyle="1" w:styleId="8Char">
    <w:name w:val="标题 8 Char"/>
    <w:aliases w:val="Table Heading Char,标题 81 Char"/>
    <w:link w:val="8"/>
    <w:rsid w:val="00FF4E2B"/>
    <w:rPr>
      <w:rFonts w:ascii="Arial" w:hAnsi="Arial"/>
      <w:sz w:val="36"/>
      <w:lang w:val="en-GB" w:eastAsia="en-US"/>
    </w:rPr>
  </w:style>
  <w:style w:type="character" w:customStyle="1" w:styleId="9Char">
    <w:name w:val="标题 9 Char"/>
    <w:aliases w:val="Figure Heading Char,FH Char,标题 91 Char"/>
    <w:link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pPr>
    <w:rPr>
      <w:rFonts w:asciiTheme="minorHAnsi" w:hAnsiTheme="minorHAnsi"/>
      <w:i/>
      <w:i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EDE47-5848-4A85-9571-10ECE269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1539</TotalTime>
  <Pages>4</Pages>
  <Words>1671</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Teng Ma</cp:lastModifiedBy>
  <cp:revision>278</cp:revision>
  <cp:lastPrinted>2018-01-07T00:25:00Z</cp:lastPrinted>
  <dcterms:created xsi:type="dcterms:W3CDTF">2018-12-27T03:51:00Z</dcterms:created>
  <dcterms:modified xsi:type="dcterms:W3CDTF">2019-02-16T05:03:00Z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